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ПАМ</w:t>
      </w:r>
      <w:r w:rsidRPr="00934641">
        <w:rPr>
          <w:rFonts w:ascii="Arial" w:hAnsi="Arial" w:cs="Arial"/>
          <w:b/>
          <w:sz w:val="24"/>
          <w:szCs w:val="24"/>
          <w:lang w:val="ru-RU"/>
        </w:rPr>
        <w:t>`</w:t>
      </w:r>
      <w:r w:rsidRPr="005C37E1">
        <w:rPr>
          <w:rFonts w:ascii="Arial" w:hAnsi="Arial" w:cs="Arial"/>
          <w:b/>
          <w:sz w:val="24"/>
          <w:szCs w:val="24"/>
          <w:lang w:val="uk-UA"/>
        </w:rPr>
        <w:t>ЯТКА</w:t>
      </w:r>
    </w:p>
    <w:p w:rsid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щодо визначення належності клієнта, 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кінцевих </w:t>
      </w:r>
      <w:proofErr w:type="spellStart"/>
      <w:r w:rsidRPr="005C37E1">
        <w:rPr>
          <w:rFonts w:ascii="Arial" w:hAnsi="Arial" w:cs="Arial"/>
          <w:b/>
          <w:sz w:val="24"/>
          <w:szCs w:val="24"/>
          <w:lang w:val="uk-UA"/>
        </w:rPr>
        <w:t>бенефіціарних</w:t>
      </w:r>
      <w:proofErr w:type="spellEnd"/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 власників клієнта,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осіб, які мають право розпоряджатися рахунками та/або майном, 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представників клієнта, керівника або особи, на яку покладено функції з керівництва та управління господарською діяльністю 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до політично значущих осіб, членів їх сімей, пов`язаних з ним осіб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uk-UA"/>
        </w:rPr>
        <w:t>Ця Пам`ятка розроблена з метою забезпечення належного виконання ПАТ «РОЗРАХУНКОВИЙ ЦЕНТР» вимог нової редакції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№ 361-ІХ від 06.12.2019 (далі - Закон).</w:t>
      </w:r>
    </w:p>
    <w:p w:rsidR="00CB04DC" w:rsidRPr="005C37E1" w:rsidRDefault="00CB04DC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</w:p>
    <w:p w:rsidR="00CB04DC" w:rsidRPr="005C37E1" w:rsidRDefault="00CB04DC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uk-UA"/>
        </w:rPr>
        <w:t xml:space="preserve">У тексті внутрішніх документів </w:t>
      </w:r>
      <w:r w:rsidR="00934641" w:rsidRPr="005C37E1">
        <w:rPr>
          <w:rFonts w:ascii="Arial" w:hAnsi="Arial" w:cs="Arial"/>
          <w:sz w:val="24"/>
          <w:szCs w:val="24"/>
          <w:lang w:val="uk-UA"/>
        </w:rPr>
        <w:t>ПАТ «РОЗРАХУНКОВИЙ ЦЕНТР»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слова «публічні особи», «публічні діячі» в усіх відмінках і числах </w:t>
      </w:r>
      <w:r w:rsidR="00B21600" w:rsidRPr="005C37E1">
        <w:rPr>
          <w:rFonts w:ascii="Arial" w:hAnsi="Arial" w:cs="Arial"/>
          <w:sz w:val="24"/>
          <w:szCs w:val="24"/>
          <w:lang w:val="uk-UA"/>
        </w:rPr>
        <w:t>слід розуміти і застосовувати як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«політично значущі особи».</w:t>
      </w:r>
    </w:p>
    <w:p w:rsidR="00DB2EA5" w:rsidRPr="005C37E1" w:rsidRDefault="00DB2EA5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</w:p>
    <w:p w:rsidR="00DB2EA5" w:rsidRPr="005C37E1" w:rsidRDefault="00DB2EA5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uk-UA"/>
        </w:rPr>
        <w:t>Згідно з вимогами Закону на</w:t>
      </w:r>
      <w:bookmarkStart w:id="0" w:name="_GoBack"/>
      <w:bookmarkEnd w:id="0"/>
      <w:r w:rsidRPr="005C37E1">
        <w:rPr>
          <w:rFonts w:ascii="Arial" w:hAnsi="Arial" w:cs="Arial"/>
          <w:sz w:val="24"/>
          <w:szCs w:val="24"/>
          <w:lang w:val="uk-UA"/>
        </w:rPr>
        <w:t>ведені нижче терміни вживаються у такому значенні:</w:t>
      </w:r>
    </w:p>
    <w:p w:rsidR="00DB2EA5" w:rsidRPr="005C37E1" w:rsidRDefault="00DB2EA5" w:rsidP="00DB2EA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політично значущі особи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- фізичні особи, які є національними, іноземними публічними діячами та діячами, які виконують публічні функції в міжнародних організаціях;</w:t>
      </w:r>
    </w:p>
    <w:p w:rsidR="00DB2EA5" w:rsidRPr="005C37E1" w:rsidRDefault="00DB2EA5" w:rsidP="00DB2EA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uk-UA"/>
        </w:rPr>
      </w:pP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національні публічні діячі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- фізичні особи, які виконують або виконували в Україні визначні публічні функції, а саме: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Президент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Прем’єр-міністр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постійно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діючого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допоміжного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органу,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Президентом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заступники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Державного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справами;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апаратів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секретаріатів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службовцями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посади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належать до </w:t>
      </w:r>
      <w:hyperlink w:history="1">
        <w:proofErr w:type="spellStart"/>
        <w:r w:rsidRPr="005C37E1">
          <w:rPr>
            <w:rFonts w:ascii="Arial" w:hAnsi="Arial" w:cs="Arial"/>
            <w:sz w:val="24"/>
            <w:szCs w:val="24"/>
            <w:lang w:val="ru-RU"/>
          </w:rPr>
          <w:t>категорії</w:t>
        </w:r>
        <w:proofErr w:type="spellEnd"/>
        <w:r w:rsidRPr="005C37E1">
          <w:rPr>
            <w:rFonts w:ascii="Arial" w:hAnsi="Arial" w:cs="Arial"/>
            <w:sz w:val="24"/>
            <w:szCs w:val="24"/>
            <w:lang w:val="ru-RU"/>
          </w:rPr>
          <w:t xml:space="preserve"> "А"</w:t>
        </w:r>
      </w:hyperlink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заступники Секретаря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і оборони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народні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депутати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Голова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Правління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банку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члени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банку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судді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Конституційного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Суду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Верховного Суду,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спеціалізованих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правосуддя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кваліфікаційної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комісії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Кваліфікаційно-дисциплінарної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комісії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прокурорів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Генеральний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прокурор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Голова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Директор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антикорупційного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бюро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Директор Державного бюро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розслідувань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Директор Бюро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фінансових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розслідувань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Голова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питань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телебачення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радіомовлення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Голова та члени Антимонопольного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комітету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Голова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агентства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питань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запобігання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корупції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заступники, Голова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Рахункової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палати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Голова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Центральної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виборчої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комісії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колегіальних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надзвичайні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повноважні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посли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начальник Генерального штабу -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Головнокомандувач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Збройних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командувачі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Сухопутних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військ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Збройних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Повітряних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Збройних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r w:rsidRPr="005C37E1">
        <w:rPr>
          <w:rFonts w:ascii="Arial" w:hAnsi="Arial" w:cs="Arial"/>
          <w:sz w:val="24"/>
          <w:szCs w:val="24"/>
          <w:lang w:val="ru-RU"/>
        </w:rPr>
        <w:lastRenderedPageBreak/>
        <w:t xml:space="preserve">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Військово-Морських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Збройних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службовці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посади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належать до </w:t>
      </w:r>
      <w:hyperlink w:history="1">
        <w:proofErr w:type="spellStart"/>
        <w:r w:rsidRPr="005C37E1">
          <w:rPr>
            <w:rFonts w:ascii="Arial" w:hAnsi="Arial" w:cs="Arial"/>
            <w:sz w:val="24"/>
            <w:szCs w:val="24"/>
            <w:lang w:val="ru-RU"/>
          </w:rPr>
          <w:t>категорії</w:t>
        </w:r>
        <w:proofErr w:type="spellEnd"/>
        <w:r w:rsidRPr="005C37E1">
          <w:rPr>
            <w:rFonts w:ascii="Arial" w:hAnsi="Arial" w:cs="Arial"/>
            <w:sz w:val="24"/>
            <w:szCs w:val="24"/>
            <w:lang w:val="ru-RU"/>
          </w:rPr>
          <w:t xml:space="preserve"> "А"</w:t>
        </w:r>
      </w:hyperlink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i/>
          <w:sz w:val="24"/>
          <w:szCs w:val="24"/>
          <w:lang w:val="ru-RU"/>
        </w:rPr>
        <w:t>категорія</w:t>
      </w:r>
      <w:proofErr w:type="spellEnd"/>
      <w:r w:rsidRPr="005C37E1">
        <w:rPr>
          <w:rFonts w:ascii="Arial" w:hAnsi="Arial" w:cs="Arial"/>
          <w:i/>
          <w:sz w:val="24"/>
          <w:szCs w:val="24"/>
          <w:lang w:val="ru-RU"/>
        </w:rPr>
        <w:t xml:space="preserve"> "А" (</w:t>
      </w:r>
      <w:proofErr w:type="spellStart"/>
      <w:r w:rsidRPr="005C37E1">
        <w:rPr>
          <w:rFonts w:ascii="Arial" w:hAnsi="Arial" w:cs="Arial"/>
          <w:i/>
          <w:sz w:val="24"/>
          <w:szCs w:val="24"/>
          <w:lang w:val="ru-RU"/>
        </w:rPr>
        <w:t>вищий</w:t>
      </w:r>
      <w:proofErr w:type="spellEnd"/>
      <w:r w:rsidRPr="005C37E1">
        <w:rPr>
          <w:rFonts w:ascii="Arial" w:hAnsi="Arial" w:cs="Arial"/>
          <w:i/>
          <w:sz w:val="24"/>
          <w:szCs w:val="24"/>
          <w:lang w:val="ru-RU"/>
        </w:rPr>
        <w:t xml:space="preserve"> корпус </w:t>
      </w:r>
      <w:proofErr w:type="spellStart"/>
      <w:r w:rsidRPr="005C37E1">
        <w:rPr>
          <w:rFonts w:ascii="Arial" w:hAnsi="Arial" w:cs="Arial"/>
          <w:i/>
          <w:sz w:val="24"/>
          <w:szCs w:val="24"/>
          <w:lang w:val="ru-RU"/>
        </w:rPr>
        <w:t>державної</w:t>
      </w:r>
      <w:proofErr w:type="spellEnd"/>
      <w:r w:rsidRPr="005C37E1">
        <w:rPr>
          <w:rFonts w:ascii="Arial" w:hAnsi="Arial" w:cs="Arial"/>
          <w:i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i/>
          <w:sz w:val="24"/>
          <w:szCs w:val="24"/>
          <w:lang w:val="ru-RU"/>
        </w:rPr>
        <w:t>служби</w:t>
      </w:r>
      <w:proofErr w:type="spellEnd"/>
      <w:r w:rsidRPr="005C37E1">
        <w:rPr>
          <w:rFonts w:ascii="Arial" w:hAnsi="Arial" w:cs="Arial"/>
          <w:i/>
          <w:sz w:val="24"/>
          <w:szCs w:val="24"/>
          <w:lang w:val="ru-RU"/>
        </w:rPr>
        <w:t>) - посади: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Апарату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Верховної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апарату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секретаріату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постійно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діючого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допоміжного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органу,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Президентом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Державного секретаря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міністерств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центральних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виконавчої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влади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є членами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апаратів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Конституційного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Суду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Верховного Суду,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спеціалізованих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секретаріатів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правосуддя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кваліфікаційної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комісії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судової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адміністрації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органах,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юрисдикція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поширюється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всю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територію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прокуратури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обласних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територіальних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судді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апеляційних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адміністративних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управлінських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наглядових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казенних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підприємств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господарських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товариств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частка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статутному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капіталі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прямо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опосередковано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перевищує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50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партій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іноземні публічні діячі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- фізичні особи, які виконують або виконували визначні публічні функції в іноземних державах, а саме: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глава_держави__уряду__міністри__заступни"/>
      <w:bookmarkEnd w:id="1"/>
      <w:r w:rsidRPr="005C37E1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уряду,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міністри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(заступники);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парламенту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виконують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функції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законодавчого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органу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правлінь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центральних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банків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рахункових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палат;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верховного суду,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конституційного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суду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рішення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підлягають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оскарженню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крім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оскарження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зв’язку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винятковими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обставинами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надзвичайні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повноважні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посли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повірені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у справах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центральних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військового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адміністративних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управлінських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наглядових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підприємств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партій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діячі, які виконують публічні функції в міжнародних організаціях</w:t>
      </w:r>
      <w:r w:rsidRPr="005C37E1">
        <w:rPr>
          <w:rFonts w:ascii="Arial" w:hAnsi="Arial" w:cs="Arial"/>
          <w:sz w:val="24"/>
          <w:szCs w:val="24"/>
          <w:lang w:val="uk-UA"/>
        </w:rPr>
        <w:t>, - посадові особи міжнародних організацій, які обіймають або обіймали посаду керівника (директора, голови правління або іншу) чи заступника керівника в таких організаціях або виконують чи виконували будь-які інші керівні (визначні публічні) функції на найвищому рівні, в тому числі в міжнародних міждержавних організаціях, члени міжнародних парламентських асамблей, судді та керівні посадові особи міжнародних судів;</w:t>
      </w:r>
    </w:p>
    <w:p w:rsidR="00DB2EA5" w:rsidRPr="005C37E1" w:rsidRDefault="00DB2EA5" w:rsidP="00DB2EA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DB2EA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члени сім’ї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- чоловік/дружина або прирівняні до них особи, син, дочка, пасинок, падчерка, усиновлена особа, особа, яка перебуває під опікою або піклуванням, зять та невістка і прирівняні до них особи, батько, мати, вітчим, мачуха, </w:t>
      </w:r>
      <w:proofErr w:type="spellStart"/>
      <w:r w:rsidRPr="005C37E1">
        <w:rPr>
          <w:rFonts w:ascii="Arial" w:hAnsi="Arial" w:cs="Arial"/>
          <w:sz w:val="24"/>
          <w:szCs w:val="24"/>
          <w:lang w:val="uk-UA"/>
        </w:rPr>
        <w:t>усиновлювачі</w:t>
      </w:r>
      <w:proofErr w:type="spellEnd"/>
      <w:r w:rsidRPr="005C37E1">
        <w:rPr>
          <w:rFonts w:ascii="Arial" w:hAnsi="Arial" w:cs="Arial"/>
          <w:sz w:val="24"/>
          <w:szCs w:val="24"/>
          <w:lang w:val="uk-UA"/>
        </w:rPr>
        <w:t>, опікуни чи піклувальники;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особи,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пов’язані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політично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значущими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особами</w:t>
      </w:r>
      <w:r w:rsidRPr="005C37E1">
        <w:rPr>
          <w:rFonts w:ascii="Arial" w:hAnsi="Arial" w:cs="Arial"/>
          <w:sz w:val="24"/>
          <w:szCs w:val="24"/>
          <w:lang w:val="ru-RU"/>
        </w:rPr>
        <w:t xml:space="preserve">, -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відповідають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хоча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 одному з таких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критеріїв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:</w:t>
      </w:r>
    </w:p>
    <w:p w:rsidR="00DB2EA5" w:rsidRPr="005C37E1" w:rsidRDefault="00DB2EA5" w:rsidP="0019302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lastRenderedPageBreak/>
        <w:t>відомо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такі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спільне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значущою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особою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бенефіціарне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особою, трастом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правовим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будь-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тісні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ділові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зв’язки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значущими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особами;</w:t>
      </w:r>
    </w:p>
    <w:p w:rsidR="000F3C78" w:rsidRPr="005C37E1" w:rsidRDefault="00DB2EA5" w:rsidP="0019302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кінцевими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бенефіціарними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власниками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трасту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правового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про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відомо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вони де-факто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були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значущих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осіб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before="15"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кінцевий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бенефіціарний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власник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- будь-яка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здійснює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(контроль)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клієнта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та/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імені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проводиться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фінансова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операція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before="15"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Кінцевим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бенефіціарним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власником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є: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15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осіб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- будь-яка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здійснює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 (в тому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числі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ланцюг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контролю/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);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15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трастів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законодавства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-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засновник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довірчий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захисник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(за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наявності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вигодоодержувач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вигодонабувач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група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вигодоодержувачів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вигодонабувачів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), 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будь-яка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здійснює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трасту (в тому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числі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ланцюг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контролю/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);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15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-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статус,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еквівалентний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аналогічний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особам,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зазначеним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трастів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before="15"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Ознакою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r w:rsidRPr="005C37E1">
        <w:rPr>
          <w:rFonts w:ascii="Arial" w:hAnsi="Arial" w:cs="Arial"/>
          <w:b/>
          <w:i/>
          <w:sz w:val="24"/>
          <w:szCs w:val="24"/>
          <w:lang w:val="ru-RU"/>
        </w:rPr>
        <w:t xml:space="preserve">прямого </w:t>
      </w:r>
      <w:proofErr w:type="spellStart"/>
      <w:r w:rsidRPr="005C37E1">
        <w:rPr>
          <w:rFonts w:ascii="Arial" w:hAnsi="Arial" w:cs="Arial"/>
          <w:b/>
          <w:i/>
          <w:sz w:val="24"/>
          <w:szCs w:val="24"/>
          <w:lang w:val="ru-RU"/>
        </w:rPr>
        <w:t>вирішального</w:t>
      </w:r>
      <w:proofErr w:type="spellEnd"/>
      <w:r w:rsidRPr="005C37E1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i/>
          <w:sz w:val="24"/>
          <w:szCs w:val="24"/>
          <w:lang w:val="ru-RU"/>
        </w:rPr>
        <w:t>впливу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безпосереднє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особою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часткою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розмірі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менше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25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статутного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складеного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капіталу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 голосу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особи.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before="15"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Ознаками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r w:rsidRPr="005C37E1">
        <w:rPr>
          <w:rFonts w:ascii="Arial" w:hAnsi="Arial" w:cs="Arial"/>
          <w:b/>
          <w:i/>
          <w:sz w:val="24"/>
          <w:szCs w:val="24"/>
          <w:lang w:val="ru-RU"/>
        </w:rPr>
        <w:t xml:space="preserve">непрямого </w:t>
      </w:r>
      <w:proofErr w:type="spellStart"/>
      <w:r w:rsidRPr="005C37E1">
        <w:rPr>
          <w:rFonts w:ascii="Arial" w:hAnsi="Arial" w:cs="Arial"/>
          <w:b/>
          <w:i/>
          <w:sz w:val="24"/>
          <w:szCs w:val="24"/>
          <w:lang w:val="ru-RU"/>
        </w:rPr>
        <w:t>вирішального</w:t>
      </w:r>
      <w:proofErr w:type="spellEnd"/>
      <w:r w:rsidRPr="005C37E1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i/>
          <w:sz w:val="24"/>
          <w:szCs w:val="24"/>
          <w:lang w:val="ru-RU"/>
        </w:rPr>
        <w:t>впливу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принаймні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особою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часткою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розмірі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менше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25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статутного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складеного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капіталу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 голосу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 через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пов’язаних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осіб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трасти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правові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шляхом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права контролю,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користування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розпорядження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всіма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активами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часткою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права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отримання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доходів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трасту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правового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права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складу,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результати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голосування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вчинення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правочинів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можливість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визначати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основні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умови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господарської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трасту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правового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приймати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обов’язкові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виконання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рішення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трасту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правового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незалежно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формального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цьому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кінцевим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бенефіціарним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власником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бути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формальне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 на 25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більше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статутного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капіталу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 голосу в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юридичній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особі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але 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комерційним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агентом,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номінальним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власником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номінальним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утримувачем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лише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посередником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такого права</w:t>
      </w:r>
    </w:p>
    <w:sectPr w:rsidR="00DB2EA5" w:rsidRPr="005C37E1" w:rsidSect="00CB04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428A"/>
    <w:multiLevelType w:val="hybridMultilevel"/>
    <w:tmpl w:val="CDA6F0F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B827063"/>
    <w:multiLevelType w:val="hybridMultilevel"/>
    <w:tmpl w:val="D570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30430"/>
    <w:multiLevelType w:val="hybridMultilevel"/>
    <w:tmpl w:val="BF64D8B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F586F0C"/>
    <w:multiLevelType w:val="hybridMultilevel"/>
    <w:tmpl w:val="BC8E266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8B21DB3"/>
    <w:multiLevelType w:val="hybridMultilevel"/>
    <w:tmpl w:val="0916F06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5"/>
    <w:rsid w:val="000C4B23"/>
    <w:rsid w:val="000F3C78"/>
    <w:rsid w:val="00332CA1"/>
    <w:rsid w:val="003A2ADD"/>
    <w:rsid w:val="0049597F"/>
    <w:rsid w:val="005C37E1"/>
    <w:rsid w:val="006F1404"/>
    <w:rsid w:val="00797900"/>
    <w:rsid w:val="00922992"/>
    <w:rsid w:val="00934641"/>
    <w:rsid w:val="00B21600"/>
    <w:rsid w:val="00CB04DC"/>
    <w:rsid w:val="00CE45DC"/>
    <w:rsid w:val="00D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5921-FE44-49B8-9E1D-E1E24F78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A5"/>
    <w:pPr>
      <w:ind w:left="720"/>
      <w:contextualSpacing/>
    </w:pPr>
  </w:style>
  <w:style w:type="paragraph" w:styleId="a4">
    <w:name w:val="No Spacing"/>
    <w:uiPriority w:val="1"/>
    <w:qFormat/>
    <w:rsid w:val="00DB2EA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216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6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6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6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6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Гудович Оксана Миколаївна</dc:creator>
  <cp:lastModifiedBy>Богдан Жиров</cp:lastModifiedBy>
  <cp:revision>2</cp:revision>
  <dcterms:created xsi:type="dcterms:W3CDTF">2023-07-19T09:42:00Z</dcterms:created>
  <dcterms:modified xsi:type="dcterms:W3CDTF">2023-07-19T09:42:00Z</dcterms:modified>
</cp:coreProperties>
</file>