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2561B" w14:textId="163F15AA" w:rsidR="00A53083" w:rsidRPr="005D1193" w:rsidRDefault="00032945" w:rsidP="00B62C24">
      <w:pPr>
        <w:tabs>
          <w:tab w:val="left" w:pos="851"/>
        </w:tabs>
        <w:spacing w:before="60" w:after="0" w:line="240" w:lineRule="auto"/>
        <w:ind w:firstLine="709"/>
        <w:jc w:val="both"/>
        <w:rPr>
          <w:rFonts w:ascii="Times New Roman" w:hAnsi="Times New Roman"/>
          <w:b/>
          <w:sz w:val="24"/>
          <w:szCs w:val="24"/>
        </w:rPr>
      </w:pPr>
      <w:r>
        <w:rPr>
          <w:rFonts w:ascii="Times New Roman" w:hAnsi="Times New Roman"/>
          <w:b/>
          <w:noProof/>
          <w:sz w:val="24"/>
          <w:szCs w:val="24"/>
          <w:lang w:val="ru-RU" w:eastAsia="ru-RU"/>
        </w:rPr>
        <w:drawing>
          <wp:inline distT="0" distB="0" distL="0" distR="0" wp14:anchorId="0D2EDA9A" wp14:editId="14D9D43B">
            <wp:extent cx="6300470" cy="8964930"/>
            <wp:effectExtent l="0" t="0" r="508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ование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470" cy="8964930"/>
                    </a:xfrm>
                    <a:prstGeom prst="rect">
                      <a:avLst/>
                    </a:prstGeom>
                  </pic:spPr>
                </pic:pic>
              </a:graphicData>
            </a:graphic>
          </wp:inline>
        </w:drawing>
      </w:r>
      <w:r w:rsidR="00B62C24" w:rsidRPr="005D1193">
        <w:rPr>
          <w:rFonts w:ascii="Times New Roman" w:hAnsi="Times New Roman"/>
          <w:b/>
          <w:sz w:val="24"/>
          <w:szCs w:val="24"/>
        </w:rPr>
        <w:br w:type="page"/>
      </w:r>
    </w:p>
    <w:tbl>
      <w:tblPr>
        <w:tblpPr w:leftFromText="180" w:rightFromText="180" w:vertAnchor="text" w:horzAnchor="margin" w:tblpXSpec="center" w:tblpY="724"/>
        <w:tblW w:w="9996" w:type="dxa"/>
        <w:tblLayout w:type="fixed"/>
        <w:tblLook w:val="04A0" w:firstRow="1" w:lastRow="0" w:firstColumn="1" w:lastColumn="0" w:noHBand="0" w:noVBand="1"/>
      </w:tblPr>
      <w:tblGrid>
        <w:gridCol w:w="556"/>
        <w:gridCol w:w="8864"/>
        <w:gridCol w:w="576"/>
      </w:tblGrid>
      <w:tr w:rsidR="00A53083" w:rsidRPr="005D1193" w14:paraId="2DBFFB06" w14:textId="77777777" w:rsidTr="00AF7FE8">
        <w:tc>
          <w:tcPr>
            <w:tcW w:w="556" w:type="dxa"/>
            <w:hideMark/>
          </w:tcPr>
          <w:p w14:paraId="424E2885"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lastRenderedPageBreak/>
              <w:t>1.</w:t>
            </w:r>
          </w:p>
        </w:tc>
        <w:tc>
          <w:tcPr>
            <w:tcW w:w="8864" w:type="dxa"/>
            <w:hideMark/>
          </w:tcPr>
          <w:p w14:paraId="4B754092"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Загальні положення</w:t>
            </w:r>
          </w:p>
        </w:tc>
        <w:tc>
          <w:tcPr>
            <w:tcW w:w="576" w:type="dxa"/>
          </w:tcPr>
          <w:p w14:paraId="6C3AFB1A" w14:textId="77777777" w:rsidR="00A53083" w:rsidRPr="005D1193" w:rsidRDefault="00254AD1" w:rsidP="00AF7FE8">
            <w:pPr>
              <w:keepNext/>
              <w:keepLines/>
              <w:spacing w:after="120"/>
              <w:outlineLvl w:val="2"/>
              <w:rPr>
                <w:rFonts w:ascii="Times New Roman" w:hAnsi="Times New Roman"/>
                <w:sz w:val="24"/>
                <w:szCs w:val="24"/>
              </w:rPr>
            </w:pPr>
            <w:r w:rsidRPr="005D1193">
              <w:rPr>
                <w:rFonts w:ascii="Times New Roman" w:hAnsi="Times New Roman"/>
                <w:sz w:val="24"/>
                <w:szCs w:val="24"/>
              </w:rPr>
              <w:t>3</w:t>
            </w:r>
          </w:p>
        </w:tc>
      </w:tr>
      <w:tr w:rsidR="00A53083" w:rsidRPr="005D1193" w14:paraId="62A08C3A" w14:textId="77777777" w:rsidTr="00AF7FE8">
        <w:tc>
          <w:tcPr>
            <w:tcW w:w="556" w:type="dxa"/>
            <w:hideMark/>
          </w:tcPr>
          <w:p w14:paraId="390DE248"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2.</w:t>
            </w:r>
          </w:p>
        </w:tc>
        <w:tc>
          <w:tcPr>
            <w:tcW w:w="8864" w:type="dxa"/>
          </w:tcPr>
          <w:p w14:paraId="64AEBA79"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Ризики та їх класифікація</w:t>
            </w:r>
          </w:p>
        </w:tc>
        <w:tc>
          <w:tcPr>
            <w:tcW w:w="576" w:type="dxa"/>
          </w:tcPr>
          <w:p w14:paraId="1E349764" w14:textId="77777777" w:rsidR="00A53083" w:rsidRPr="005D1193" w:rsidRDefault="00254AD1" w:rsidP="00AF7FE8">
            <w:pPr>
              <w:keepNext/>
              <w:keepLines/>
              <w:spacing w:after="120"/>
              <w:outlineLvl w:val="2"/>
              <w:rPr>
                <w:rFonts w:ascii="Times New Roman" w:hAnsi="Times New Roman"/>
                <w:sz w:val="24"/>
                <w:szCs w:val="24"/>
              </w:rPr>
            </w:pPr>
            <w:r w:rsidRPr="005D1193">
              <w:rPr>
                <w:rFonts w:ascii="Times New Roman" w:hAnsi="Times New Roman"/>
                <w:sz w:val="24"/>
                <w:szCs w:val="24"/>
              </w:rPr>
              <w:t>4</w:t>
            </w:r>
          </w:p>
        </w:tc>
      </w:tr>
      <w:tr w:rsidR="00A53083" w:rsidRPr="005D1193" w14:paraId="4BEE7EE3" w14:textId="77777777" w:rsidTr="00AF7FE8">
        <w:tc>
          <w:tcPr>
            <w:tcW w:w="556" w:type="dxa"/>
            <w:hideMark/>
          </w:tcPr>
          <w:p w14:paraId="4430700D"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3.</w:t>
            </w:r>
          </w:p>
        </w:tc>
        <w:tc>
          <w:tcPr>
            <w:tcW w:w="8864" w:type="dxa"/>
          </w:tcPr>
          <w:p w14:paraId="11477A8B"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Порядок виявлення ризиків. Методики розрахунку та оцінювання ризиків</w:t>
            </w:r>
          </w:p>
        </w:tc>
        <w:tc>
          <w:tcPr>
            <w:tcW w:w="576" w:type="dxa"/>
          </w:tcPr>
          <w:p w14:paraId="7E34D579" w14:textId="74D444E5" w:rsidR="00A53083" w:rsidRPr="005D1193" w:rsidRDefault="000A39DA" w:rsidP="00AF7FE8">
            <w:pPr>
              <w:keepNext/>
              <w:keepLines/>
              <w:spacing w:after="120"/>
              <w:outlineLvl w:val="2"/>
              <w:rPr>
                <w:rFonts w:ascii="Times New Roman" w:hAnsi="Times New Roman"/>
                <w:sz w:val="24"/>
                <w:szCs w:val="24"/>
              </w:rPr>
            </w:pPr>
            <w:r w:rsidRPr="005D1193">
              <w:rPr>
                <w:rFonts w:ascii="Times New Roman" w:hAnsi="Times New Roman"/>
                <w:sz w:val="24"/>
                <w:szCs w:val="24"/>
              </w:rPr>
              <w:t>6</w:t>
            </w:r>
          </w:p>
        </w:tc>
      </w:tr>
      <w:tr w:rsidR="00A53083" w:rsidRPr="005D1193" w14:paraId="733B8E8A" w14:textId="77777777" w:rsidTr="00AF7FE8">
        <w:tc>
          <w:tcPr>
            <w:tcW w:w="556" w:type="dxa"/>
            <w:hideMark/>
          </w:tcPr>
          <w:p w14:paraId="1786B517"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4.</w:t>
            </w:r>
          </w:p>
        </w:tc>
        <w:tc>
          <w:tcPr>
            <w:tcW w:w="8864" w:type="dxa"/>
          </w:tcPr>
          <w:p w14:paraId="25DDF90A"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Опис моделі управління ризиками</w:t>
            </w:r>
          </w:p>
        </w:tc>
        <w:tc>
          <w:tcPr>
            <w:tcW w:w="576" w:type="dxa"/>
          </w:tcPr>
          <w:p w14:paraId="4FA7CBA0" w14:textId="23174F01" w:rsidR="00A53083" w:rsidRPr="005D1193" w:rsidRDefault="005F41FA" w:rsidP="00AF7FE8">
            <w:pPr>
              <w:keepNext/>
              <w:keepLines/>
              <w:spacing w:after="120"/>
              <w:outlineLvl w:val="2"/>
              <w:rPr>
                <w:rFonts w:ascii="Times New Roman" w:hAnsi="Times New Roman"/>
                <w:sz w:val="24"/>
                <w:szCs w:val="24"/>
              </w:rPr>
            </w:pPr>
            <w:r w:rsidRPr="005D1193">
              <w:rPr>
                <w:rFonts w:ascii="Times New Roman" w:hAnsi="Times New Roman"/>
                <w:sz w:val="24"/>
                <w:szCs w:val="24"/>
              </w:rPr>
              <w:t>8</w:t>
            </w:r>
          </w:p>
        </w:tc>
      </w:tr>
      <w:tr w:rsidR="00A53083" w:rsidRPr="005D1193" w14:paraId="15AD7279" w14:textId="77777777" w:rsidTr="00AF7FE8">
        <w:tc>
          <w:tcPr>
            <w:tcW w:w="556" w:type="dxa"/>
            <w:hideMark/>
          </w:tcPr>
          <w:p w14:paraId="4ED84708"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5.</w:t>
            </w:r>
          </w:p>
        </w:tc>
        <w:tc>
          <w:tcPr>
            <w:tcW w:w="8864" w:type="dxa"/>
          </w:tcPr>
          <w:p w14:paraId="5A29E455"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Заходи з управління ризиками та гарантування розрахунків</w:t>
            </w:r>
          </w:p>
        </w:tc>
        <w:tc>
          <w:tcPr>
            <w:tcW w:w="576" w:type="dxa"/>
          </w:tcPr>
          <w:p w14:paraId="14297656" w14:textId="503E9767" w:rsidR="00A53083" w:rsidRPr="005D1193" w:rsidRDefault="005F41FA" w:rsidP="00AF7FE8">
            <w:pPr>
              <w:keepNext/>
              <w:keepLines/>
              <w:spacing w:after="120"/>
              <w:outlineLvl w:val="2"/>
              <w:rPr>
                <w:rFonts w:ascii="Times New Roman" w:hAnsi="Times New Roman"/>
                <w:sz w:val="24"/>
                <w:szCs w:val="24"/>
              </w:rPr>
            </w:pPr>
            <w:r w:rsidRPr="005D1193">
              <w:rPr>
                <w:rFonts w:ascii="Times New Roman" w:hAnsi="Times New Roman"/>
                <w:sz w:val="24"/>
                <w:szCs w:val="24"/>
              </w:rPr>
              <w:t>9</w:t>
            </w:r>
          </w:p>
        </w:tc>
      </w:tr>
      <w:tr w:rsidR="00A53083" w:rsidRPr="005D1193" w14:paraId="090D63DA" w14:textId="77777777" w:rsidTr="00AF7FE8">
        <w:tc>
          <w:tcPr>
            <w:tcW w:w="556" w:type="dxa"/>
            <w:hideMark/>
          </w:tcPr>
          <w:p w14:paraId="3A0D4C65"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6.</w:t>
            </w:r>
          </w:p>
        </w:tc>
        <w:tc>
          <w:tcPr>
            <w:tcW w:w="8864" w:type="dxa"/>
          </w:tcPr>
          <w:p w14:paraId="2B38A0A0"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Заходи зниження ризиків. Порядок та умови застосування відповідних заходів зниження ризиків</w:t>
            </w:r>
          </w:p>
        </w:tc>
        <w:tc>
          <w:tcPr>
            <w:tcW w:w="576" w:type="dxa"/>
          </w:tcPr>
          <w:p w14:paraId="3676DD1D" w14:textId="05280C3C" w:rsidR="00A53083" w:rsidRPr="005D1193" w:rsidRDefault="00254AD1" w:rsidP="00307866">
            <w:pPr>
              <w:spacing w:after="120"/>
              <w:rPr>
                <w:rFonts w:ascii="Times New Roman" w:hAnsi="Times New Roman"/>
                <w:sz w:val="24"/>
                <w:szCs w:val="24"/>
              </w:rPr>
            </w:pPr>
            <w:r w:rsidRPr="005D1193">
              <w:rPr>
                <w:rFonts w:ascii="Times New Roman" w:hAnsi="Times New Roman"/>
                <w:sz w:val="24"/>
                <w:szCs w:val="24"/>
              </w:rPr>
              <w:t>1</w:t>
            </w:r>
            <w:r w:rsidR="0052792B">
              <w:rPr>
                <w:rFonts w:ascii="Times New Roman" w:hAnsi="Times New Roman"/>
                <w:sz w:val="24"/>
                <w:szCs w:val="24"/>
              </w:rPr>
              <w:t>7</w:t>
            </w:r>
          </w:p>
        </w:tc>
      </w:tr>
      <w:tr w:rsidR="00A53083" w:rsidRPr="005D1193" w14:paraId="6BB17E35" w14:textId="77777777" w:rsidTr="00AF7FE8">
        <w:tc>
          <w:tcPr>
            <w:tcW w:w="556" w:type="dxa"/>
            <w:hideMark/>
          </w:tcPr>
          <w:p w14:paraId="61BC4C27"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7.</w:t>
            </w:r>
          </w:p>
        </w:tc>
        <w:tc>
          <w:tcPr>
            <w:tcW w:w="8864" w:type="dxa"/>
          </w:tcPr>
          <w:p w14:paraId="0FC26995"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Заходи з моделювання та прогнозування процесів і майбутніх результатів діяльності Розрахункового центру на основі аналізу інформації та оцінки ризиків</w:t>
            </w:r>
          </w:p>
        </w:tc>
        <w:tc>
          <w:tcPr>
            <w:tcW w:w="576" w:type="dxa"/>
          </w:tcPr>
          <w:p w14:paraId="305944CF" w14:textId="3B35CBFB" w:rsidR="00A53083" w:rsidRPr="005D1193" w:rsidRDefault="0052792B" w:rsidP="00307866">
            <w:pPr>
              <w:spacing w:after="120"/>
              <w:rPr>
                <w:rFonts w:ascii="Times New Roman" w:hAnsi="Times New Roman"/>
                <w:sz w:val="24"/>
                <w:szCs w:val="24"/>
              </w:rPr>
            </w:pPr>
            <w:r>
              <w:rPr>
                <w:rFonts w:ascii="Times New Roman" w:hAnsi="Times New Roman"/>
                <w:sz w:val="24"/>
                <w:szCs w:val="24"/>
              </w:rPr>
              <w:t>21</w:t>
            </w:r>
          </w:p>
        </w:tc>
      </w:tr>
      <w:tr w:rsidR="00A53083" w:rsidRPr="005D1193" w14:paraId="220C7F49" w14:textId="77777777" w:rsidTr="00AF7FE8">
        <w:tc>
          <w:tcPr>
            <w:tcW w:w="556" w:type="dxa"/>
            <w:hideMark/>
          </w:tcPr>
          <w:p w14:paraId="13439C43"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8.</w:t>
            </w:r>
          </w:p>
        </w:tc>
        <w:tc>
          <w:tcPr>
            <w:tcW w:w="8864" w:type="dxa"/>
          </w:tcPr>
          <w:p w14:paraId="23CE6420" w14:textId="77777777" w:rsidR="00A53083" w:rsidRPr="005D1193" w:rsidRDefault="00A53083" w:rsidP="00AF7FE8">
            <w:pPr>
              <w:spacing w:after="120"/>
              <w:rPr>
                <w:rFonts w:ascii="Times New Roman" w:hAnsi="Times New Roman"/>
                <w:sz w:val="24"/>
                <w:szCs w:val="24"/>
              </w:rPr>
            </w:pPr>
            <w:r w:rsidRPr="005D1193">
              <w:rPr>
                <w:rFonts w:ascii="Times New Roman" w:hAnsi="Times New Roman"/>
                <w:sz w:val="24"/>
                <w:szCs w:val="24"/>
              </w:rPr>
              <w:t>Заключні положення</w:t>
            </w:r>
          </w:p>
        </w:tc>
        <w:tc>
          <w:tcPr>
            <w:tcW w:w="576" w:type="dxa"/>
          </w:tcPr>
          <w:p w14:paraId="3FE3D26D" w14:textId="19DF3E1E" w:rsidR="00A53083" w:rsidRPr="005D1193" w:rsidRDefault="0052792B" w:rsidP="00307866">
            <w:pPr>
              <w:keepNext/>
              <w:keepLines/>
              <w:spacing w:after="120"/>
              <w:outlineLvl w:val="2"/>
              <w:rPr>
                <w:rFonts w:ascii="Times New Roman" w:hAnsi="Times New Roman"/>
                <w:sz w:val="24"/>
                <w:szCs w:val="24"/>
              </w:rPr>
            </w:pPr>
            <w:r>
              <w:rPr>
                <w:rFonts w:ascii="Times New Roman" w:hAnsi="Times New Roman"/>
                <w:sz w:val="24"/>
                <w:szCs w:val="24"/>
              </w:rPr>
              <w:t>21</w:t>
            </w:r>
          </w:p>
        </w:tc>
      </w:tr>
    </w:tbl>
    <w:p w14:paraId="547BC545" w14:textId="77777777" w:rsidR="00A53083" w:rsidRPr="005D1193" w:rsidRDefault="00A53083" w:rsidP="007E21A8">
      <w:pPr>
        <w:tabs>
          <w:tab w:val="left" w:pos="851"/>
        </w:tabs>
        <w:spacing w:before="60" w:after="0" w:line="240" w:lineRule="auto"/>
        <w:ind w:firstLine="709"/>
        <w:jc w:val="center"/>
        <w:rPr>
          <w:rFonts w:ascii="Times New Roman" w:hAnsi="Times New Roman"/>
          <w:b/>
          <w:sz w:val="24"/>
          <w:szCs w:val="24"/>
        </w:rPr>
      </w:pPr>
      <w:r w:rsidRPr="005D1193">
        <w:rPr>
          <w:rFonts w:ascii="Times New Roman" w:hAnsi="Times New Roman"/>
          <w:b/>
          <w:sz w:val="24"/>
          <w:szCs w:val="24"/>
        </w:rPr>
        <w:t>ЗМІСТ</w:t>
      </w:r>
    </w:p>
    <w:p w14:paraId="5C6121EA" w14:textId="69F8EC0C" w:rsidR="00461444" w:rsidRPr="005D1193" w:rsidRDefault="00B62C24" w:rsidP="00947CE3">
      <w:pPr>
        <w:tabs>
          <w:tab w:val="left" w:pos="851"/>
          <w:tab w:val="left" w:pos="993"/>
        </w:tabs>
        <w:spacing w:after="120" w:line="240" w:lineRule="auto"/>
        <w:jc w:val="center"/>
        <w:rPr>
          <w:rFonts w:ascii="Times New Roman" w:hAnsi="Times New Roman"/>
          <w:b/>
          <w:sz w:val="24"/>
          <w:szCs w:val="24"/>
        </w:rPr>
      </w:pPr>
      <w:r w:rsidRPr="005D1193">
        <w:rPr>
          <w:rFonts w:ascii="Times New Roman" w:hAnsi="Times New Roman"/>
          <w:b/>
          <w:sz w:val="24"/>
          <w:szCs w:val="24"/>
        </w:rPr>
        <w:br w:type="page"/>
      </w:r>
      <w:r w:rsidR="00461444" w:rsidRPr="005D1193">
        <w:rPr>
          <w:rFonts w:ascii="Times New Roman" w:hAnsi="Times New Roman"/>
          <w:b/>
          <w:sz w:val="24"/>
          <w:szCs w:val="24"/>
        </w:rPr>
        <w:lastRenderedPageBreak/>
        <w:t>1.</w:t>
      </w:r>
      <w:r w:rsidR="005F41FA" w:rsidRPr="005D1193">
        <w:rPr>
          <w:rFonts w:ascii="Times New Roman" w:hAnsi="Times New Roman"/>
          <w:b/>
          <w:sz w:val="24"/>
          <w:szCs w:val="24"/>
        </w:rPr>
        <w:t xml:space="preserve"> </w:t>
      </w:r>
      <w:r w:rsidR="00461444" w:rsidRPr="005D1193">
        <w:rPr>
          <w:rFonts w:ascii="Times New Roman" w:hAnsi="Times New Roman"/>
          <w:b/>
          <w:sz w:val="24"/>
          <w:szCs w:val="24"/>
        </w:rPr>
        <w:t xml:space="preserve">Загальні </w:t>
      </w:r>
      <w:r w:rsidR="009D7F35" w:rsidRPr="005D1193">
        <w:rPr>
          <w:rFonts w:ascii="Times New Roman" w:hAnsi="Times New Roman"/>
          <w:b/>
          <w:sz w:val="24"/>
          <w:szCs w:val="24"/>
        </w:rPr>
        <w:t>п</w:t>
      </w:r>
      <w:r w:rsidR="00461444" w:rsidRPr="005D1193">
        <w:rPr>
          <w:rFonts w:ascii="Times New Roman" w:hAnsi="Times New Roman"/>
          <w:b/>
          <w:sz w:val="24"/>
          <w:szCs w:val="24"/>
        </w:rPr>
        <w:t>оложення</w:t>
      </w:r>
    </w:p>
    <w:p w14:paraId="155F0466" w14:textId="2D337260" w:rsidR="00461444" w:rsidRPr="005D1193" w:rsidRDefault="00461444"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1.1. Положення про </w:t>
      </w:r>
      <w:r w:rsidR="005F194D" w:rsidRPr="005D1193">
        <w:rPr>
          <w:rFonts w:ascii="Times New Roman" w:hAnsi="Times New Roman"/>
          <w:sz w:val="24"/>
          <w:szCs w:val="24"/>
        </w:rPr>
        <w:t xml:space="preserve">систему </w:t>
      </w:r>
      <w:r w:rsidRPr="005D1193">
        <w:rPr>
          <w:rFonts w:ascii="Times New Roman" w:hAnsi="Times New Roman"/>
          <w:sz w:val="24"/>
          <w:szCs w:val="24"/>
        </w:rPr>
        <w:t xml:space="preserve">управління ризиками та гарантій </w:t>
      </w:r>
      <w:r w:rsidR="00794307" w:rsidRPr="005D1193">
        <w:rPr>
          <w:rFonts w:ascii="Times New Roman" w:hAnsi="Times New Roman"/>
          <w:sz w:val="24"/>
          <w:szCs w:val="24"/>
        </w:rPr>
        <w:t>п</w:t>
      </w:r>
      <w:r w:rsidRPr="005D1193">
        <w:rPr>
          <w:rFonts w:ascii="Times New Roman" w:hAnsi="Times New Roman"/>
          <w:sz w:val="24"/>
          <w:szCs w:val="24"/>
        </w:rPr>
        <w:t xml:space="preserve">ублічного акціонерного товариства </w:t>
      </w:r>
      <w:r w:rsidR="005F194D" w:rsidRPr="005D1193">
        <w:rPr>
          <w:rFonts w:ascii="Times New Roman" w:hAnsi="Times New Roman"/>
          <w:sz w:val="24"/>
          <w:szCs w:val="24"/>
        </w:rPr>
        <w:t>"</w:t>
      </w:r>
      <w:r w:rsidRPr="005D1193">
        <w:rPr>
          <w:rFonts w:ascii="Times New Roman" w:hAnsi="Times New Roman"/>
          <w:sz w:val="24"/>
          <w:szCs w:val="24"/>
        </w:rPr>
        <w:t>Розрахунковий центр з обслуговування договорів на фінансових ринках</w:t>
      </w:r>
      <w:r w:rsidR="005F194D" w:rsidRPr="005D1193">
        <w:rPr>
          <w:rFonts w:ascii="Times New Roman" w:hAnsi="Times New Roman"/>
          <w:sz w:val="24"/>
          <w:szCs w:val="24"/>
        </w:rPr>
        <w:t>"</w:t>
      </w:r>
      <w:r w:rsidRPr="005D1193">
        <w:rPr>
          <w:rFonts w:ascii="Times New Roman" w:hAnsi="Times New Roman"/>
          <w:sz w:val="24"/>
          <w:szCs w:val="24"/>
        </w:rPr>
        <w:t xml:space="preserve"> (далі – Положення) розроблено відповідно до Закону України </w:t>
      </w:r>
      <w:r w:rsidR="005F194D" w:rsidRPr="005D1193">
        <w:rPr>
          <w:rFonts w:ascii="Times New Roman" w:hAnsi="Times New Roman"/>
          <w:sz w:val="24"/>
          <w:szCs w:val="24"/>
        </w:rPr>
        <w:t>"</w:t>
      </w:r>
      <w:r w:rsidRPr="005D1193">
        <w:rPr>
          <w:rFonts w:ascii="Times New Roman" w:hAnsi="Times New Roman"/>
          <w:sz w:val="24"/>
          <w:szCs w:val="24"/>
        </w:rPr>
        <w:t>Про цінні папери та фондов</w:t>
      </w:r>
      <w:r w:rsidR="00497038">
        <w:rPr>
          <w:rFonts w:ascii="Times New Roman" w:hAnsi="Times New Roman"/>
          <w:sz w:val="24"/>
          <w:szCs w:val="24"/>
        </w:rPr>
        <w:t>ий</w:t>
      </w:r>
      <w:r w:rsidRPr="005D1193">
        <w:rPr>
          <w:rFonts w:ascii="Times New Roman" w:hAnsi="Times New Roman"/>
          <w:sz w:val="24"/>
          <w:szCs w:val="24"/>
        </w:rPr>
        <w:t xml:space="preserve"> </w:t>
      </w:r>
      <w:r w:rsidR="00965181">
        <w:rPr>
          <w:rFonts w:ascii="Times New Roman" w:hAnsi="Times New Roman"/>
          <w:sz w:val="24"/>
          <w:szCs w:val="24"/>
        </w:rPr>
        <w:t>ринок</w:t>
      </w:r>
      <w:r w:rsidR="005F194D" w:rsidRPr="005D1193">
        <w:rPr>
          <w:rFonts w:ascii="Times New Roman" w:hAnsi="Times New Roman"/>
          <w:sz w:val="24"/>
          <w:szCs w:val="24"/>
        </w:rPr>
        <w:t>"</w:t>
      </w:r>
      <w:r w:rsidRPr="005D1193">
        <w:rPr>
          <w:rFonts w:ascii="Times New Roman" w:hAnsi="Times New Roman"/>
          <w:sz w:val="24"/>
          <w:szCs w:val="24"/>
        </w:rPr>
        <w:t xml:space="preserve">, Закону України </w:t>
      </w:r>
      <w:r w:rsidR="005F194D" w:rsidRPr="005D1193">
        <w:rPr>
          <w:rFonts w:ascii="Times New Roman" w:hAnsi="Times New Roman"/>
          <w:sz w:val="24"/>
          <w:szCs w:val="24"/>
        </w:rPr>
        <w:t>"</w:t>
      </w:r>
      <w:r w:rsidRPr="005D1193">
        <w:rPr>
          <w:rFonts w:ascii="Times New Roman" w:hAnsi="Times New Roman"/>
          <w:sz w:val="24"/>
          <w:szCs w:val="24"/>
        </w:rPr>
        <w:t>Про депозитарну систему України</w:t>
      </w:r>
      <w:r w:rsidR="005F194D" w:rsidRPr="005D1193">
        <w:rPr>
          <w:rFonts w:ascii="Times New Roman" w:hAnsi="Times New Roman"/>
          <w:sz w:val="24"/>
          <w:szCs w:val="24"/>
        </w:rPr>
        <w:t>"</w:t>
      </w:r>
      <w:r w:rsidRPr="005D1193">
        <w:rPr>
          <w:rFonts w:ascii="Times New Roman" w:hAnsi="Times New Roman"/>
          <w:sz w:val="24"/>
          <w:szCs w:val="24"/>
        </w:rPr>
        <w:t xml:space="preserve">, Закону України </w:t>
      </w:r>
      <w:r w:rsidR="005F194D" w:rsidRPr="005D1193">
        <w:rPr>
          <w:rFonts w:ascii="Times New Roman" w:hAnsi="Times New Roman"/>
          <w:sz w:val="24"/>
          <w:szCs w:val="24"/>
        </w:rPr>
        <w:t>"</w:t>
      </w:r>
      <w:r w:rsidRPr="005D1193">
        <w:rPr>
          <w:rFonts w:ascii="Times New Roman" w:hAnsi="Times New Roman"/>
          <w:sz w:val="24"/>
          <w:szCs w:val="24"/>
        </w:rPr>
        <w:t>Про банки і банківську діяльність</w:t>
      </w:r>
      <w:r w:rsidR="005F194D" w:rsidRPr="005D1193">
        <w:rPr>
          <w:rFonts w:ascii="Times New Roman" w:hAnsi="Times New Roman"/>
          <w:sz w:val="24"/>
          <w:szCs w:val="24"/>
        </w:rPr>
        <w:t>"</w:t>
      </w:r>
      <w:r w:rsidRPr="005D1193">
        <w:rPr>
          <w:rFonts w:ascii="Times New Roman" w:hAnsi="Times New Roman"/>
          <w:sz w:val="24"/>
          <w:szCs w:val="24"/>
        </w:rPr>
        <w:t xml:space="preserve">, нормативно-правових актів Національної комісії з цінних паперів та фондового ринку і Національного банку України та з врахуванням рекомендацій міжнародних організацій </w:t>
      </w:r>
      <w:r w:rsidR="005F194D" w:rsidRPr="005D1193">
        <w:rPr>
          <w:rFonts w:ascii="Times New Roman" w:hAnsi="Times New Roman"/>
          <w:sz w:val="24"/>
          <w:szCs w:val="24"/>
        </w:rPr>
        <w:t xml:space="preserve">таких як </w:t>
      </w:r>
      <w:r w:rsidRPr="005D1193">
        <w:rPr>
          <w:rFonts w:ascii="Times New Roman" w:hAnsi="Times New Roman"/>
          <w:sz w:val="24"/>
          <w:szCs w:val="24"/>
        </w:rPr>
        <w:t>Банку міжнародних розрахунків (BIS), Міжнародної організації комісій з цінних паперів (</w:t>
      </w:r>
      <w:r w:rsidRPr="005D1193">
        <w:rPr>
          <w:rFonts w:ascii="Times New Roman" w:hAnsi="Times New Roman"/>
          <w:bCs/>
          <w:iCs/>
          <w:sz w:val="24"/>
          <w:szCs w:val="24"/>
        </w:rPr>
        <w:t>IOSCO</w:t>
      </w:r>
      <w:r w:rsidRPr="005D1193">
        <w:rPr>
          <w:rFonts w:ascii="Times New Roman" w:hAnsi="Times New Roman"/>
          <w:sz w:val="24"/>
          <w:szCs w:val="24"/>
        </w:rPr>
        <w:t>), Європейської комісії щодо стандартів ризик-менеджменту Центральних контрагентів.</w:t>
      </w:r>
    </w:p>
    <w:p w14:paraId="7938703A" w14:textId="78AB4594" w:rsidR="00461444" w:rsidRPr="005D1193" w:rsidRDefault="00461444"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1.2. Положення визначає основні заходи, які впроваджуються </w:t>
      </w:r>
      <w:r w:rsidR="00794307" w:rsidRPr="005D1193">
        <w:rPr>
          <w:rFonts w:ascii="Times New Roman" w:hAnsi="Times New Roman"/>
          <w:sz w:val="24"/>
          <w:szCs w:val="24"/>
        </w:rPr>
        <w:t>п</w:t>
      </w:r>
      <w:r w:rsidRPr="005D1193">
        <w:rPr>
          <w:rFonts w:ascii="Times New Roman" w:hAnsi="Times New Roman"/>
          <w:sz w:val="24"/>
          <w:szCs w:val="24"/>
        </w:rPr>
        <w:t xml:space="preserve">ублічним акціонерним товариством </w:t>
      </w:r>
      <w:r w:rsidR="005F194D" w:rsidRPr="005D1193">
        <w:rPr>
          <w:rFonts w:ascii="Times New Roman" w:hAnsi="Times New Roman"/>
          <w:sz w:val="24"/>
          <w:szCs w:val="24"/>
        </w:rPr>
        <w:t>"</w:t>
      </w:r>
      <w:r w:rsidRPr="005D1193">
        <w:rPr>
          <w:rFonts w:ascii="Times New Roman" w:hAnsi="Times New Roman"/>
          <w:sz w:val="24"/>
          <w:szCs w:val="24"/>
        </w:rPr>
        <w:t>Розрахунковий центр з обслуговування договорів на фінансових ринках</w:t>
      </w:r>
      <w:r w:rsidR="005F194D" w:rsidRPr="005D1193">
        <w:rPr>
          <w:rFonts w:ascii="Times New Roman" w:hAnsi="Times New Roman"/>
          <w:sz w:val="24"/>
          <w:szCs w:val="24"/>
        </w:rPr>
        <w:t>"</w:t>
      </w:r>
      <w:r w:rsidRPr="005D1193">
        <w:rPr>
          <w:rFonts w:ascii="Times New Roman" w:hAnsi="Times New Roman"/>
          <w:sz w:val="24"/>
          <w:szCs w:val="24"/>
        </w:rPr>
        <w:t xml:space="preserve"> (далі </w:t>
      </w:r>
      <w:r w:rsidR="005F194D" w:rsidRPr="005D1193">
        <w:rPr>
          <w:rFonts w:ascii="Times New Roman" w:hAnsi="Times New Roman"/>
          <w:sz w:val="24"/>
          <w:szCs w:val="24"/>
        </w:rPr>
        <w:t>–</w:t>
      </w:r>
      <w:r w:rsidRPr="005D1193">
        <w:rPr>
          <w:rFonts w:ascii="Times New Roman" w:hAnsi="Times New Roman"/>
          <w:sz w:val="24"/>
          <w:szCs w:val="24"/>
        </w:rPr>
        <w:t xml:space="preserve"> Розрахунковий центр) з метою забезпечення гарантій здійснення розрахунків шляхом упередження і зниження ризиків, на які наражається Розрахунковий центр при провадженні клірингової діяльності та виконан</w:t>
      </w:r>
      <w:r w:rsidR="00913707" w:rsidRPr="005D1193">
        <w:rPr>
          <w:rFonts w:ascii="Times New Roman" w:hAnsi="Times New Roman"/>
          <w:sz w:val="24"/>
          <w:szCs w:val="24"/>
        </w:rPr>
        <w:t>н</w:t>
      </w:r>
      <w:r w:rsidRPr="005D1193">
        <w:rPr>
          <w:rFonts w:ascii="Times New Roman" w:hAnsi="Times New Roman"/>
          <w:sz w:val="24"/>
          <w:szCs w:val="24"/>
        </w:rPr>
        <w:t xml:space="preserve">і функцій </w:t>
      </w:r>
      <w:r w:rsidR="00846E2F" w:rsidRPr="005D1193">
        <w:rPr>
          <w:rFonts w:ascii="Times New Roman" w:hAnsi="Times New Roman"/>
          <w:sz w:val="24"/>
          <w:szCs w:val="24"/>
        </w:rPr>
        <w:t>ц</w:t>
      </w:r>
      <w:r w:rsidRPr="005D1193">
        <w:rPr>
          <w:rFonts w:ascii="Times New Roman" w:hAnsi="Times New Roman"/>
          <w:sz w:val="24"/>
          <w:szCs w:val="24"/>
        </w:rPr>
        <w:t>ентрального контрагент</w:t>
      </w:r>
      <w:r w:rsidR="005862B7" w:rsidRPr="005D1193">
        <w:rPr>
          <w:rFonts w:ascii="Times New Roman" w:hAnsi="Times New Roman"/>
          <w:sz w:val="24"/>
          <w:szCs w:val="24"/>
        </w:rPr>
        <w:t>а</w:t>
      </w:r>
      <w:r w:rsidRPr="005D1193">
        <w:rPr>
          <w:rFonts w:ascii="Times New Roman" w:hAnsi="Times New Roman"/>
          <w:sz w:val="24"/>
          <w:szCs w:val="24"/>
        </w:rPr>
        <w:t>.</w:t>
      </w:r>
    </w:p>
    <w:p w14:paraId="05366399" w14:textId="77777777" w:rsidR="00CE14AC" w:rsidRPr="005D1193" w:rsidRDefault="00461444"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1.3. </w:t>
      </w:r>
      <w:r w:rsidR="00CE14AC" w:rsidRPr="005D1193">
        <w:rPr>
          <w:rFonts w:ascii="Times New Roman" w:hAnsi="Times New Roman"/>
          <w:sz w:val="24"/>
          <w:szCs w:val="24"/>
        </w:rPr>
        <w:t>У цьому Положенні наведені нижче терміни вживаються у такому значенні:</w:t>
      </w:r>
    </w:p>
    <w:p w14:paraId="718BACED" w14:textId="3060B350" w:rsidR="00C751AE" w:rsidRPr="005D1193" w:rsidRDefault="00C751AE"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винна сторона договору РЕПО –</w:t>
      </w:r>
      <w:r w:rsidR="009C7A91" w:rsidRPr="005D1193">
        <w:rPr>
          <w:rFonts w:ascii="Times New Roman" w:hAnsi="Times New Roman"/>
          <w:sz w:val="24"/>
          <w:szCs w:val="24"/>
        </w:rPr>
        <w:t xml:space="preserve"> сторона договору РЕПО,</w:t>
      </w:r>
      <w:r w:rsidRPr="005D1193">
        <w:rPr>
          <w:rFonts w:ascii="Times New Roman" w:hAnsi="Times New Roman"/>
          <w:sz w:val="24"/>
          <w:szCs w:val="24"/>
        </w:rPr>
        <w:t xml:space="preserve"> </w:t>
      </w:r>
      <w:r w:rsidR="009C7A91" w:rsidRPr="005D1193">
        <w:rPr>
          <w:rFonts w:ascii="Times New Roman" w:hAnsi="Times New Roman"/>
          <w:sz w:val="24"/>
          <w:szCs w:val="24"/>
        </w:rPr>
        <w:t xml:space="preserve">що </w:t>
      </w:r>
      <w:r w:rsidRPr="005D1193">
        <w:rPr>
          <w:rFonts w:ascii="Times New Roman" w:hAnsi="Times New Roman"/>
          <w:sz w:val="24"/>
          <w:szCs w:val="24"/>
        </w:rPr>
        <w:t>не викона</w:t>
      </w:r>
      <w:r w:rsidR="009C7A91" w:rsidRPr="005D1193">
        <w:rPr>
          <w:rFonts w:ascii="Times New Roman" w:hAnsi="Times New Roman"/>
          <w:sz w:val="24"/>
          <w:szCs w:val="24"/>
        </w:rPr>
        <w:t>ла</w:t>
      </w:r>
      <w:r w:rsidRPr="005D1193">
        <w:rPr>
          <w:rFonts w:ascii="Times New Roman" w:hAnsi="Times New Roman"/>
          <w:sz w:val="24"/>
          <w:szCs w:val="24"/>
        </w:rPr>
        <w:t xml:space="preserve"> своїх зобов</w:t>
      </w:r>
      <w:r w:rsidR="005F41FA" w:rsidRPr="005D1193">
        <w:rPr>
          <w:rFonts w:ascii="Times New Roman" w:hAnsi="Times New Roman"/>
          <w:sz w:val="24"/>
          <w:szCs w:val="24"/>
        </w:rPr>
        <w:t>’</w:t>
      </w:r>
      <w:r w:rsidRPr="005D1193">
        <w:rPr>
          <w:rFonts w:ascii="Times New Roman" w:hAnsi="Times New Roman"/>
          <w:sz w:val="24"/>
          <w:szCs w:val="24"/>
        </w:rPr>
        <w:t>язань за договором РЕПО або маржинальної вимоги, або</w:t>
      </w:r>
      <w:r w:rsidR="009C7A91" w:rsidRPr="005D1193">
        <w:rPr>
          <w:rFonts w:ascii="Times New Roman" w:hAnsi="Times New Roman"/>
          <w:sz w:val="24"/>
          <w:szCs w:val="24"/>
        </w:rPr>
        <w:t xml:space="preserve"> яка</w:t>
      </w:r>
      <w:r w:rsidRPr="005D1193">
        <w:rPr>
          <w:rFonts w:ascii="Times New Roman" w:hAnsi="Times New Roman"/>
          <w:sz w:val="24"/>
          <w:szCs w:val="24"/>
        </w:rPr>
        <w:t xml:space="preserve"> є неплатоспроможн</w:t>
      </w:r>
      <w:r w:rsidR="009C7A91" w:rsidRPr="005D1193">
        <w:rPr>
          <w:rFonts w:ascii="Times New Roman" w:hAnsi="Times New Roman"/>
          <w:sz w:val="24"/>
          <w:szCs w:val="24"/>
        </w:rPr>
        <w:t>ою</w:t>
      </w:r>
      <w:r w:rsidRPr="005D1193">
        <w:rPr>
          <w:rFonts w:ascii="Times New Roman" w:hAnsi="Times New Roman"/>
          <w:sz w:val="24"/>
          <w:szCs w:val="24"/>
        </w:rPr>
        <w:t>;</w:t>
      </w:r>
    </w:p>
    <w:p w14:paraId="1297A83F" w14:textId="08CBD537" w:rsidR="00CE14AC" w:rsidRPr="005D1193" w:rsidRDefault="007D7391"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г</w:t>
      </w:r>
      <w:r w:rsidR="00CE14AC" w:rsidRPr="005D1193">
        <w:rPr>
          <w:rFonts w:ascii="Times New Roman" w:hAnsi="Times New Roman"/>
          <w:sz w:val="24"/>
          <w:szCs w:val="24"/>
        </w:rPr>
        <w:t>арантійне забезпечення –</w:t>
      </w:r>
      <w:r w:rsidR="00AB7D21" w:rsidRPr="005D1193">
        <w:rPr>
          <w:rFonts w:ascii="Times New Roman" w:hAnsi="Times New Roman"/>
          <w:sz w:val="24"/>
          <w:szCs w:val="24"/>
        </w:rPr>
        <w:t xml:space="preserve"> </w:t>
      </w:r>
      <w:r w:rsidRPr="005D1193">
        <w:rPr>
          <w:rFonts w:ascii="Times New Roman" w:hAnsi="Times New Roman"/>
          <w:sz w:val="24"/>
          <w:szCs w:val="24"/>
        </w:rPr>
        <w:t>клірингове забезпечення учасника клірингу у вигляді коштів або цінних паперів, яке є способом забезпечення виконання зобов</w:t>
      </w:r>
      <w:r w:rsidR="005F41FA" w:rsidRPr="005D1193">
        <w:rPr>
          <w:rFonts w:ascii="Times New Roman" w:hAnsi="Times New Roman"/>
          <w:sz w:val="24"/>
          <w:szCs w:val="24"/>
        </w:rPr>
        <w:t>’</w:t>
      </w:r>
      <w:r w:rsidRPr="005D1193">
        <w:rPr>
          <w:rFonts w:ascii="Times New Roman" w:hAnsi="Times New Roman"/>
          <w:sz w:val="24"/>
          <w:szCs w:val="24"/>
        </w:rPr>
        <w:t>язань учасника клірингу, відповідно до якого задоволення вимог здійснюється за рахунок його майна, право розпорядження яким передано цим учасником клірингу Розрахунковому центру</w:t>
      </w:r>
      <w:r w:rsidR="00CE14AC" w:rsidRPr="005D1193">
        <w:rPr>
          <w:rFonts w:ascii="Times New Roman" w:hAnsi="Times New Roman"/>
          <w:sz w:val="24"/>
          <w:szCs w:val="24"/>
        </w:rPr>
        <w:t>;</w:t>
      </w:r>
    </w:p>
    <w:p w14:paraId="5F1E2D2F" w14:textId="272227C0" w:rsidR="00CE14AC" w:rsidRDefault="00CE14AC"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гарантовані розрахунки – спосіб забезпечення розрахунків за правочинами щодо цінних паперів, укладеними на фондових біржах, щодо яких Розрахунковий центр гарантує виконання зобов</w:t>
      </w:r>
      <w:r w:rsidR="005F41FA" w:rsidRPr="005D1193">
        <w:rPr>
          <w:rFonts w:ascii="Times New Roman" w:hAnsi="Times New Roman"/>
          <w:sz w:val="24"/>
          <w:szCs w:val="24"/>
        </w:rPr>
        <w:t>’</w:t>
      </w:r>
      <w:r w:rsidRPr="005D1193">
        <w:rPr>
          <w:rFonts w:ascii="Times New Roman" w:hAnsi="Times New Roman"/>
          <w:sz w:val="24"/>
          <w:szCs w:val="24"/>
        </w:rPr>
        <w:t>язань або</w:t>
      </w:r>
      <w:r w:rsidR="00486773" w:rsidRPr="005D1193">
        <w:rPr>
          <w:rFonts w:ascii="Times New Roman" w:hAnsi="Times New Roman"/>
          <w:sz w:val="24"/>
          <w:szCs w:val="24"/>
        </w:rPr>
        <w:t xml:space="preserve"> </w:t>
      </w:r>
      <w:r w:rsidRPr="005D1193">
        <w:rPr>
          <w:rFonts w:ascii="Times New Roman" w:hAnsi="Times New Roman"/>
          <w:sz w:val="24"/>
          <w:szCs w:val="24"/>
        </w:rPr>
        <w:t xml:space="preserve">припинення </w:t>
      </w:r>
      <w:r w:rsidR="008301CB" w:rsidRPr="005D1193">
        <w:rPr>
          <w:rFonts w:ascii="Times New Roman" w:hAnsi="Times New Roman"/>
          <w:sz w:val="24"/>
          <w:szCs w:val="24"/>
        </w:rPr>
        <w:t xml:space="preserve">Розрахунковим центром </w:t>
      </w:r>
      <w:r w:rsidRPr="005D1193">
        <w:rPr>
          <w:rFonts w:ascii="Times New Roman" w:hAnsi="Times New Roman"/>
          <w:sz w:val="24"/>
          <w:szCs w:val="24"/>
        </w:rPr>
        <w:t>зобов</w:t>
      </w:r>
      <w:r w:rsidR="005F41FA" w:rsidRPr="005D1193">
        <w:rPr>
          <w:rFonts w:ascii="Times New Roman" w:hAnsi="Times New Roman"/>
          <w:sz w:val="24"/>
          <w:szCs w:val="24"/>
        </w:rPr>
        <w:t>’</w:t>
      </w:r>
      <w:r w:rsidRPr="005D1193">
        <w:rPr>
          <w:rFonts w:ascii="Times New Roman" w:hAnsi="Times New Roman"/>
          <w:sz w:val="24"/>
          <w:szCs w:val="24"/>
        </w:rPr>
        <w:t>язань за рахунок отриман</w:t>
      </w:r>
      <w:r w:rsidR="00913707" w:rsidRPr="005D1193">
        <w:rPr>
          <w:rFonts w:ascii="Times New Roman" w:hAnsi="Times New Roman"/>
          <w:sz w:val="24"/>
          <w:szCs w:val="24"/>
        </w:rPr>
        <w:t>ого</w:t>
      </w:r>
      <w:r w:rsidRPr="005D1193">
        <w:rPr>
          <w:rFonts w:ascii="Times New Roman" w:hAnsi="Times New Roman"/>
          <w:sz w:val="24"/>
          <w:szCs w:val="24"/>
        </w:rPr>
        <w:t xml:space="preserve"> від учасників клірингу </w:t>
      </w:r>
      <w:r w:rsidR="00CE200E" w:rsidRPr="005D1193">
        <w:rPr>
          <w:rFonts w:ascii="Times New Roman" w:hAnsi="Times New Roman"/>
          <w:sz w:val="24"/>
          <w:szCs w:val="24"/>
        </w:rPr>
        <w:t>г</w:t>
      </w:r>
      <w:r w:rsidRPr="005D1193">
        <w:rPr>
          <w:rFonts w:ascii="Times New Roman" w:hAnsi="Times New Roman"/>
          <w:sz w:val="24"/>
          <w:szCs w:val="24"/>
        </w:rPr>
        <w:t>арантійного забезпечення;</w:t>
      </w:r>
    </w:p>
    <w:p w14:paraId="5A09E5BF" w14:textId="4D1E122B" w:rsidR="00D0059A" w:rsidRDefault="00D0059A" w:rsidP="00D0059A">
      <w:pPr>
        <w:spacing w:after="120"/>
        <w:ind w:firstLine="709"/>
        <w:jc w:val="both"/>
        <w:rPr>
          <w:rFonts w:ascii="Times New Roman" w:hAnsi="Times New Roman"/>
          <w:sz w:val="24"/>
          <w:szCs w:val="24"/>
          <w:lang w:val="ru-RU"/>
        </w:rPr>
      </w:pPr>
      <w:r>
        <w:rPr>
          <w:rFonts w:ascii="Times New Roman" w:hAnsi="Times New Roman"/>
          <w:sz w:val="24"/>
          <w:szCs w:val="24"/>
          <w:lang w:val="ru-RU"/>
        </w:rPr>
        <w:t>дисконт (</w:t>
      </w:r>
      <w:r>
        <w:rPr>
          <w:rFonts w:ascii="Times New Roman" w:hAnsi="Times New Roman"/>
          <w:sz w:val="24"/>
          <w:szCs w:val="24"/>
        </w:rPr>
        <w:t>haircut</w:t>
      </w:r>
      <w:r>
        <w:rPr>
          <w:rFonts w:ascii="Times New Roman" w:hAnsi="Times New Roman"/>
          <w:sz w:val="24"/>
          <w:szCs w:val="24"/>
          <w:lang w:val="ru-RU"/>
        </w:rPr>
        <w:t xml:space="preserve">) – </w:t>
      </w:r>
      <w:proofErr w:type="spellStart"/>
      <w:r>
        <w:rPr>
          <w:rFonts w:ascii="Times New Roman" w:hAnsi="Times New Roman"/>
          <w:sz w:val="24"/>
          <w:szCs w:val="24"/>
          <w:lang w:val="ru-RU"/>
        </w:rPr>
        <w:t>знижка</w:t>
      </w:r>
      <w:proofErr w:type="spellEnd"/>
      <w:r>
        <w:rPr>
          <w:rFonts w:ascii="Times New Roman" w:hAnsi="Times New Roman"/>
          <w:sz w:val="24"/>
          <w:szCs w:val="24"/>
          <w:lang w:val="ru-RU"/>
        </w:rPr>
        <w:t xml:space="preserve"> до </w:t>
      </w:r>
      <w:proofErr w:type="spellStart"/>
      <w:r>
        <w:rPr>
          <w:rFonts w:ascii="Times New Roman" w:hAnsi="Times New Roman"/>
          <w:sz w:val="24"/>
          <w:szCs w:val="24"/>
          <w:lang w:val="ru-RU"/>
        </w:rPr>
        <w:t>ринкової</w:t>
      </w:r>
      <w:proofErr w:type="spellEnd"/>
      <w:r>
        <w:rPr>
          <w:rFonts w:ascii="Times New Roman" w:hAnsi="Times New Roman"/>
          <w:sz w:val="24"/>
          <w:szCs w:val="24"/>
          <w:lang w:val="ru-RU"/>
        </w:rPr>
        <w:t xml:space="preserve"> </w:t>
      </w:r>
      <w:proofErr w:type="spellStart"/>
      <w:r w:rsidR="00BD2D5E">
        <w:rPr>
          <w:rFonts w:ascii="Times New Roman" w:hAnsi="Times New Roman"/>
          <w:sz w:val="24"/>
          <w:szCs w:val="24"/>
          <w:lang w:val="ru-RU"/>
        </w:rPr>
        <w:t>вартості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паперу</w:t>
      </w:r>
      <w:proofErr w:type="spellEnd"/>
      <w:r>
        <w:rPr>
          <w:rFonts w:ascii="Times New Roman" w:hAnsi="Times New Roman"/>
          <w:sz w:val="24"/>
          <w:szCs w:val="24"/>
          <w:lang w:val="ru-RU"/>
        </w:rPr>
        <w:t xml:space="preserve">, яка </w:t>
      </w:r>
      <w:proofErr w:type="spellStart"/>
      <w:r>
        <w:rPr>
          <w:rFonts w:ascii="Times New Roman" w:hAnsi="Times New Roman"/>
          <w:sz w:val="24"/>
          <w:szCs w:val="24"/>
          <w:lang w:val="ru-RU"/>
        </w:rPr>
        <w:t>застосовується</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визначення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відповідного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цінного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паперу</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перш</w:t>
      </w:r>
      <w:r w:rsidR="00F125C2">
        <w:rPr>
          <w:rFonts w:ascii="Times New Roman" w:hAnsi="Times New Roman"/>
          <w:sz w:val="24"/>
          <w:szCs w:val="24"/>
          <w:lang w:val="ru-RU"/>
        </w:rPr>
        <w:t>і</w:t>
      </w:r>
      <w:r>
        <w:rPr>
          <w:rFonts w:ascii="Times New Roman" w:hAnsi="Times New Roman"/>
          <w:sz w:val="24"/>
          <w:szCs w:val="24"/>
          <w:lang w:val="ru-RU"/>
        </w:rPr>
        <w:t>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частині</w:t>
      </w:r>
      <w:proofErr w:type="spellEnd"/>
      <w:r>
        <w:rPr>
          <w:rFonts w:ascii="Times New Roman" w:hAnsi="Times New Roman"/>
          <w:sz w:val="24"/>
          <w:szCs w:val="24"/>
          <w:lang w:val="ru-RU"/>
        </w:rPr>
        <w:t xml:space="preserve"> договору РЕПО;</w:t>
      </w:r>
    </w:p>
    <w:p w14:paraId="5498215A" w14:textId="23445867" w:rsidR="00D31C89" w:rsidRPr="005D1193" w:rsidRDefault="00D31C89"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добросовісна сторона </w:t>
      </w:r>
      <w:r w:rsidR="00614005" w:rsidRPr="005D1193">
        <w:rPr>
          <w:rFonts w:ascii="Times New Roman" w:hAnsi="Times New Roman"/>
          <w:sz w:val="24"/>
          <w:szCs w:val="24"/>
        </w:rPr>
        <w:t xml:space="preserve">договору РЕПО </w:t>
      </w:r>
      <w:r w:rsidRPr="005D1193">
        <w:rPr>
          <w:rFonts w:ascii="Times New Roman" w:hAnsi="Times New Roman"/>
          <w:sz w:val="24"/>
          <w:szCs w:val="24"/>
        </w:rPr>
        <w:t>–</w:t>
      </w:r>
      <w:r w:rsidR="00A915BB">
        <w:rPr>
          <w:rFonts w:ascii="Times New Roman" w:hAnsi="Times New Roman"/>
          <w:sz w:val="24"/>
          <w:szCs w:val="24"/>
        </w:rPr>
        <w:t xml:space="preserve"> </w:t>
      </w:r>
      <w:r w:rsidR="00822AA4">
        <w:rPr>
          <w:rFonts w:ascii="Times New Roman" w:hAnsi="Times New Roman"/>
          <w:sz w:val="24"/>
          <w:szCs w:val="24"/>
        </w:rPr>
        <w:t>сторона договору РЕПО</w:t>
      </w:r>
      <w:r w:rsidR="00FA074E" w:rsidRPr="005D1193">
        <w:rPr>
          <w:rFonts w:ascii="Times New Roman" w:hAnsi="Times New Roman"/>
          <w:sz w:val="24"/>
          <w:szCs w:val="24"/>
        </w:rPr>
        <w:t>, зобов</w:t>
      </w:r>
      <w:r w:rsidR="005F41FA" w:rsidRPr="005D1193">
        <w:rPr>
          <w:rFonts w:ascii="Times New Roman" w:hAnsi="Times New Roman"/>
          <w:sz w:val="24"/>
          <w:szCs w:val="24"/>
        </w:rPr>
        <w:t>’</w:t>
      </w:r>
      <w:r w:rsidR="00FA074E" w:rsidRPr="005D1193">
        <w:rPr>
          <w:rFonts w:ascii="Times New Roman" w:hAnsi="Times New Roman"/>
          <w:sz w:val="24"/>
          <w:szCs w:val="24"/>
        </w:rPr>
        <w:t>язання яко</w:t>
      </w:r>
      <w:r w:rsidR="00822AA4">
        <w:rPr>
          <w:rFonts w:ascii="Times New Roman" w:hAnsi="Times New Roman"/>
          <w:sz w:val="24"/>
          <w:szCs w:val="24"/>
        </w:rPr>
        <w:t>ї</w:t>
      </w:r>
      <w:r w:rsidR="005D6D19" w:rsidRPr="005D1193">
        <w:t xml:space="preserve"> </w:t>
      </w:r>
      <w:r w:rsidR="005D6D19" w:rsidRPr="005D1193">
        <w:rPr>
          <w:rFonts w:ascii="Times New Roman" w:hAnsi="Times New Roman"/>
          <w:sz w:val="24"/>
          <w:szCs w:val="24"/>
        </w:rPr>
        <w:t>перед центральним контрагентом</w:t>
      </w:r>
      <w:r w:rsidRPr="005D1193">
        <w:rPr>
          <w:rFonts w:ascii="Times New Roman" w:hAnsi="Times New Roman"/>
          <w:sz w:val="24"/>
          <w:szCs w:val="24"/>
        </w:rPr>
        <w:t xml:space="preserve"> як сторони договору РЕПО, абсолютно ідентичні до зобов</w:t>
      </w:r>
      <w:r w:rsidR="005F41FA" w:rsidRPr="005D1193">
        <w:rPr>
          <w:rFonts w:ascii="Times New Roman" w:hAnsi="Times New Roman"/>
          <w:sz w:val="24"/>
          <w:szCs w:val="24"/>
        </w:rPr>
        <w:t>’</w:t>
      </w:r>
      <w:r w:rsidRPr="005D1193">
        <w:rPr>
          <w:rFonts w:ascii="Times New Roman" w:hAnsi="Times New Roman"/>
          <w:sz w:val="24"/>
          <w:szCs w:val="24"/>
        </w:rPr>
        <w:t>язань центрального контрагента за договором РЕПО, за яким контрагент центрального контрагента не виконав своїх зобов</w:t>
      </w:r>
      <w:r w:rsidR="005F41FA" w:rsidRPr="005D1193">
        <w:rPr>
          <w:rFonts w:ascii="Times New Roman" w:hAnsi="Times New Roman"/>
          <w:sz w:val="24"/>
          <w:szCs w:val="24"/>
        </w:rPr>
        <w:t>’</w:t>
      </w:r>
      <w:r w:rsidRPr="005D1193">
        <w:rPr>
          <w:rFonts w:ascii="Times New Roman" w:hAnsi="Times New Roman"/>
          <w:sz w:val="24"/>
          <w:szCs w:val="24"/>
        </w:rPr>
        <w:t>язань за договором РЕПО або маржинальної вимоги</w:t>
      </w:r>
      <w:r w:rsidR="00614005" w:rsidRPr="005D1193">
        <w:rPr>
          <w:rFonts w:ascii="Times New Roman" w:hAnsi="Times New Roman"/>
          <w:sz w:val="24"/>
          <w:szCs w:val="24"/>
        </w:rPr>
        <w:t>,</w:t>
      </w:r>
      <w:r w:rsidRPr="005D1193">
        <w:rPr>
          <w:rFonts w:ascii="Times New Roman" w:hAnsi="Times New Roman"/>
          <w:sz w:val="24"/>
          <w:szCs w:val="24"/>
        </w:rPr>
        <w:t xml:space="preserve"> або</w:t>
      </w:r>
      <w:r w:rsidR="00614005" w:rsidRPr="005D1193">
        <w:rPr>
          <w:rFonts w:ascii="Times New Roman" w:hAnsi="Times New Roman"/>
          <w:sz w:val="24"/>
          <w:szCs w:val="24"/>
        </w:rPr>
        <w:t xml:space="preserve"> як</w:t>
      </w:r>
      <w:r w:rsidR="00822AA4">
        <w:rPr>
          <w:rFonts w:ascii="Times New Roman" w:hAnsi="Times New Roman"/>
          <w:sz w:val="24"/>
          <w:szCs w:val="24"/>
        </w:rPr>
        <w:t>а</w:t>
      </w:r>
      <w:r w:rsidR="00614005" w:rsidRPr="005D1193">
        <w:rPr>
          <w:rFonts w:ascii="Times New Roman" w:hAnsi="Times New Roman"/>
          <w:sz w:val="24"/>
          <w:szCs w:val="24"/>
        </w:rPr>
        <w:t xml:space="preserve"> є неплатоспроможн</w:t>
      </w:r>
      <w:r w:rsidR="00822AA4">
        <w:rPr>
          <w:rFonts w:ascii="Times New Roman" w:hAnsi="Times New Roman"/>
          <w:sz w:val="24"/>
          <w:szCs w:val="24"/>
        </w:rPr>
        <w:t>ою</w:t>
      </w:r>
      <w:r w:rsidRPr="005D1193">
        <w:rPr>
          <w:rFonts w:ascii="Times New Roman" w:hAnsi="Times New Roman"/>
          <w:sz w:val="24"/>
          <w:szCs w:val="24"/>
        </w:rPr>
        <w:t>;</w:t>
      </w:r>
    </w:p>
    <w:p w14:paraId="5C68B499" w14:textId="66D3A22A" w:rsidR="00C751AE" w:rsidRDefault="00C751AE"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зобов</w:t>
      </w:r>
      <w:r w:rsidR="005F41FA" w:rsidRPr="005D1193">
        <w:rPr>
          <w:rFonts w:ascii="Times New Roman" w:hAnsi="Times New Roman"/>
          <w:sz w:val="24"/>
          <w:szCs w:val="24"/>
        </w:rPr>
        <w:t>’</w:t>
      </w:r>
      <w:r w:rsidRPr="005D1193">
        <w:rPr>
          <w:rFonts w:ascii="Times New Roman" w:hAnsi="Times New Roman"/>
          <w:sz w:val="24"/>
          <w:szCs w:val="24"/>
        </w:rPr>
        <w:t>язання учасника клірингу – зобов</w:t>
      </w:r>
      <w:r w:rsidR="005F41FA" w:rsidRPr="005D1193">
        <w:rPr>
          <w:rFonts w:ascii="Times New Roman" w:hAnsi="Times New Roman"/>
          <w:sz w:val="24"/>
          <w:szCs w:val="24"/>
        </w:rPr>
        <w:t>’</w:t>
      </w:r>
      <w:r w:rsidRPr="005D1193">
        <w:rPr>
          <w:rFonts w:ascii="Times New Roman" w:hAnsi="Times New Roman"/>
          <w:sz w:val="24"/>
          <w:szCs w:val="24"/>
        </w:rPr>
        <w:t>язання учасника клірингу та/або клієнтів учасника клірингу за правочинами щодо цінних паперів;</w:t>
      </w:r>
    </w:p>
    <w:p w14:paraId="600112CD" w14:textId="54661F62" w:rsidR="0007052A" w:rsidRPr="005D1193" w:rsidRDefault="0007052A" w:rsidP="000A39DA">
      <w:pPr>
        <w:tabs>
          <w:tab w:val="left" w:pos="993"/>
        </w:tabs>
        <w:spacing w:after="120" w:line="240" w:lineRule="auto"/>
        <w:ind w:firstLine="709"/>
        <w:jc w:val="both"/>
        <w:rPr>
          <w:rFonts w:ascii="Times New Roman" w:hAnsi="Times New Roman"/>
          <w:sz w:val="24"/>
          <w:szCs w:val="24"/>
        </w:rPr>
      </w:pPr>
      <w:r>
        <w:rPr>
          <w:rFonts w:ascii="Times New Roman" w:hAnsi="Times New Roman"/>
          <w:sz w:val="24"/>
          <w:szCs w:val="24"/>
        </w:rPr>
        <w:t xml:space="preserve">кредитор </w:t>
      </w:r>
      <w:r w:rsidR="00732020">
        <w:rPr>
          <w:rFonts w:ascii="Times New Roman" w:hAnsi="Times New Roman"/>
          <w:sz w:val="24"/>
          <w:szCs w:val="24"/>
        </w:rPr>
        <w:t>–</w:t>
      </w:r>
      <w:r>
        <w:rPr>
          <w:rFonts w:ascii="Times New Roman" w:hAnsi="Times New Roman"/>
          <w:sz w:val="24"/>
          <w:szCs w:val="24"/>
        </w:rPr>
        <w:t xml:space="preserve"> покупець</w:t>
      </w:r>
      <w:r w:rsidR="00732020">
        <w:rPr>
          <w:rFonts w:ascii="Times New Roman" w:hAnsi="Times New Roman"/>
          <w:sz w:val="24"/>
          <w:szCs w:val="24"/>
        </w:rPr>
        <w:t xml:space="preserve"> цінних паперів</w:t>
      </w:r>
      <w:r w:rsidRPr="004F028F">
        <w:rPr>
          <w:rFonts w:ascii="Times New Roman" w:hAnsi="Times New Roman"/>
          <w:sz w:val="24"/>
          <w:szCs w:val="24"/>
        </w:rPr>
        <w:t xml:space="preserve"> за </w:t>
      </w:r>
      <w:r w:rsidR="00822AA4">
        <w:rPr>
          <w:rFonts w:ascii="Times New Roman" w:hAnsi="Times New Roman"/>
          <w:sz w:val="24"/>
          <w:szCs w:val="24"/>
        </w:rPr>
        <w:t>першою</w:t>
      </w:r>
      <w:r w:rsidRPr="004F028F">
        <w:rPr>
          <w:rFonts w:ascii="Times New Roman" w:hAnsi="Times New Roman"/>
          <w:sz w:val="24"/>
          <w:szCs w:val="24"/>
        </w:rPr>
        <w:t xml:space="preserve"> частиною договору РЕПО</w:t>
      </w:r>
      <w:r>
        <w:rPr>
          <w:rFonts w:ascii="Times New Roman" w:hAnsi="Times New Roman"/>
          <w:sz w:val="24"/>
          <w:szCs w:val="24"/>
        </w:rPr>
        <w:t>;</w:t>
      </w:r>
    </w:p>
    <w:p w14:paraId="5FEF68AD" w14:textId="481BE8FB" w:rsidR="00613217" w:rsidRPr="005D1193" w:rsidRDefault="008A0558"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ліквідаційний неттінг </w:t>
      </w:r>
      <w:r w:rsidR="00177953" w:rsidRPr="005D1193">
        <w:rPr>
          <w:rFonts w:ascii="Times New Roman" w:hAnsi="Times New Roman"/>
          <w:sz w:val="24"/>
          <w:szCs w:val="24"/>
        </w:rPr>
        <w:t>–</w:t>
      </w:r>
      <w:r w:rsidRPr="005D1193">
        <w:rPr>
          <w:rFonts w:ascii="Times New Roman" w:hAnsi="Times New Roman"/>
          <w:sz w:val="24"/>
          <w:szCs w:val="24"/>
        </w:rPr>
        <w:t xml:space="preserve"> </w:t>
      </w:r>
      <w:r w:rsidR="00A85A57" w:rsidRPr="005D1193">
        <w:rPr>
          <w:rFonts w:ascii="Times New Roman" w:hAnsi="Times New Roman"/>
          <w:sz w:val="24"/>
          <w:szCs w:val="24"/>
        </w:rPr>
        <w:t xml:space="preserve">процедура </w:t>
      </w:r>
      <w:r w:rsidR="00177953" w:rsidRPr="005D1193">
        <w:rPr>
          <w:rFonts w:ascii="Times New Roman" w:hAnsi="Times New Roman"/>
          <w:sz w:val="24"/>
          <w:szCs w:val="24"/>
        </w:rPr>
        <w:t xml:space="preserve">припинення </w:t>
      </w:r>
      <w:r w:rsidR="00613217" w:rsidRPr="005D1193">
        <w:rPr>
          <w:rFonts w:ascii="Times New Roman" w:hAnsi="Times New Roman"/>
          <w:sz w:val="24"/>
          <w:szCs w:val="24"/>
        </w:rPr>
        <w:t>Розрахунковим центром</w:t>
      </w:r>
      <w:r w:rsidR="00177953" w:rsidRPr="005D1193">
        <w:rPr>
          <w:rFonts w:ascii="Times New Roman" w:hAnsi="Times New Roman"/>
          <w:sz w:val="24"/>
          <w:szCs w:val="24"/>
        </w:rPr>
        <w:t xml:space="preserve"> як </w:t>
      </w:r>
      <w:r w:rsidR="00613217" w:rsidRPr="005D1193">
        <w:rPr>
          <w:rFonts w:ascii="Times New Roman" w:hAnsi="Times New Roman"/>
          <w:sz w:val="24"/>
          <w:szCs w:val="24"/>
        </w:rPr>
        <w:t>особою,</w:t>
      </w:r>
      <w:r w:rsidR="00177953" w:rsidRPr="005D1193">
        <w:rPr>
          <w:rFonts w:ascii="Times New Roman" w:hAnsi="Times New Roman"/>
          <w:sz w:val="24"/>
          <w:szCs w:val="24"/>
        </w:rPr>
        <w:t xml:space="preserve"> яка провадить клірингову діяльність</w:t>
      </w:r>
      <w:r w:rsidR="00613217" w:rsidRPr="005D1193">
        <w:rPr>
          <w:rFonts w:ascii="Times New Roman" w:hAnsi="Times New Roman"/>
          <w:sz w:val="24"/>
          <w:szCs w:val="24"/>
        </w:rPr>
        <w:t>,</w:t>
      </w:r>
      <w:r w:rsidR="00614005" w:rsidRPr="005D1193">
        <w:rPr>
          <w:rFonts w:ascii="Times New Roman" w:hAnsi="Times New Roman"/>
          <w:sz w:val="24"/>
          <w:szCs w:val="24"/>
        </w:rPr>
        <w:t xml:space="preserve"> всіх існуючих станом на дату ліквідаційного неттінгу зобов</w:t>
      </w:r>
      <w:r w:rsidR="005F41FA" w:rsidRPr="005D1193">
        <w:rPr>
          <w:rFonts w:ascii="Times New Roman" w:hAnsi="Times New Roman"/>
          <w:sz w:val="24"/>
          <w:szCs w:val="24"/>
        </w:rPr>
        <w:t>’</w:t>
      </w:r>
      <w:r w:rsidR="00614005" w:rsidRPr="005D1193">
        <w:rPr>
          <w:rFonts w:ascii="Times New Roman" w:hAnsi="Times New Roman"/>
          <w:sz w:val="24"/>
          <w:szCs w:val="24"/>
        </w:rPr>
        <w:t xml:space="preserve">язань за правочинами щодо цінних паперів незалежно від їх змісту та/або строку (терміну) виконання, </w:t>
      </w:r>
      <w:r w:rsidR="00822AA4">
        <w:rPr>
          <w:rFonts w:ascii="Times New Roman" w:hAnsi="Times New Roman"/>
          <w:sz w:val="24"/>
          <w:szCs w:val="24"/>
        </w:rPr>
        <w:t>сторона</w:t>
      </w:r>
      <w:r w:rsidR="00614005" w:rsidRPr="005D1193">
        <w:rPr>
          <w:rFonts w:ascii="Times New Roman" w:hAnsi="Times New Roman"/>
          <w:sz w:val="24"/>
          <w:szCs w:val="24"/>
        </w:rPr>
        <w:t>, яки</w:t>
      </w:r>
      <w:r w:rsidR="00822AA4">
        <w:rPr>
          <w:rFonts w:ascii="Times New Roman" w:hAnsi="Times New Roman"/>
          <w:sz w:val="24"/>
          <w:szCs w:val="24"/>
        </w:rPr>
        <w:t>х</w:t>
      </w:r>
      <w:r w:rsidR="00614005" w:rsidRPr="005D1193">
        <w:rPr>
          <w:rFonts w:ascii="Times New Roman" w:hAnsi="Times New Roman"/>
          <w:sz w:val="24"/>
          <w:szCs w:val="24"/>
        </w:rPr>
        <w:t xml:space="preserve"> є неплатоспроможн</w:t>
      </w:r>
      <w:r w:rsidR="00822AA4">
        <w:rPr>
          <w:rFonts w:ascii="Times New Roman" w:hAnsi="Times New Roman"/>
          <w:sz w:val="24"/>
          <w:szCs w:val="24"/>
        </w:rPr>
        <w:t>ою</w:t>
      </w:r>
      <w:r w:rsidR="00613217" w:rsidRPr="005D1193">
        <w:rPr>
          <w:rFonts w:ascii="Times New Roman" w:hAnsi="Times New Roman"/>
          <w:sz w:val="24"/>
          <w:szCs w:val="24"/>
        </w:rPr>
        <w:t>;</w:t>
      </w:r>
    </w:p>
    <w:p w14:paraId="415FB6F4" w14:textId="748A5810" w:rsidR="00BC656F" w:rsidRPr="005D1193" w:rsidRDefault="00BC656F" w:rsidP="005D3EAE">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майбутні зобов’язання учасника клірингу – зобов’язання учасника клірингу, датою виконання яких є будь-який з наступних операційних днів;</w:t>
      </w:r>
    </w:p>
    <w:p w14:paraId="555B33A5" w14:textId="1F835DB9" w:rsidR="00402D39" w:rsidRPr="005D1193" w:rsidRDefault="00402D39">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маржинальна вимога –</w:t>
      </w:r>
      <w:r w:rsidR="0004237E" w:rsidRPr="005D1193">
        <w:rPr>
          <w:rFonts w:ascii="Times New Roman" w:hAnsi="Times New Roman"/>
          <w:sz w:val="24"/>
          <w:szCs w:val="24"/>
        </w:rPr>
        <w:t xml:space="preserve"> вимога Розрахункового центру до учасника клірингу </w:t>
      </w:r>
      <w:r w:rsidR="007D7391" w:rsidRPr="005D1193">
        <w:rPr>
          <w:rFonts w:ascii="Times New Roman" w:hAnsi="Times New Roman"/>
          <w:sz w:val="24"/>
          <w:szCs w:val="24"/>
        </w:rPr>
        <w:t>внести</w:t>
      </w:r>
      <w:r w:rsidR="0004237E" w:rsidRPr="005D1193">
        <w:rPr>
          <w:rFonts w:ascii="Times New Roman" w:hAnsi="Times New Roman"/>
          <w:sz w:val="24"/>
          <w:szCs w:val="24"/>
        </w:rPr>
        <w:t xml:space="preserve"> додаткове гарантійне забезпечення для </w:t>
      </w:r>
      <w:r w:rsidR="0060136D" w:rsidRPr="005D1193">
        <w:rPr>
          <w:rFonts w:ascii="Times New Roman" w:hAnsi="Times New Roman"/>
          <w:sz w:val="24"/>
          <w:szCs w:val="24"/>
        </w:rPr>
        <w:t xml:space="preserve">забезпечення </w:t>
      </w:r>
      <w:r w:rsidR="0004237E" w:rsidRPr="005D1193">
        <w:rPr>
          <w:rFonts w:ascii="Times New Roman" w:hAnsi="Times New Roman"/>
          <w:sz w:val="24"/>
          <w:szCs w:val="24"/>
        </w:rPr>
        <w:t>поточних та майбутніх зобов</w:t>
      </w:r>
      <w:r w:rsidR="005F41FA" w:rsidRPr="005D1193">
        <w:rPr>
          <w:rFonts w:ascii="Times New Roman" w:hAnsi="Times New Roman"/>
          <w:sz w:val="24"/>
          <w:szCs w:val="24"/>
        </w:rPr>
        <w:t>’</w:t>
      </w:r>
      <w:r w:rsidR="0004237E" w:rsidRPr="005D1193">
        <w:rPr>
          <w:rFonts w:ascii="Times New Roman" w:hAnsi="Times New Roman"/>
          <w:sz w:val="24"/>
          <w:szCs w:val="24"/>
        </w:rPr>
        <w:t>язань</w:t>
      </w:r>
      <w:r w:rsidR="007D7391" w:rsidRPr="005D1193">
        <w:rPr>
          <w:rFonts w:ascii="Times New Roman" w:hAnsi="Times New Roman"/>
          <w:sz w:val="24"/>
          <w:szCs w:val="24"/>
        </w:rPr>
        <w:t xml:space="preserve"> учасника клірингу</w:t>
      </w:r>
      <w:r w:rsidR="00BA6A7D" w:rsidRPr="005D1193">
        <w:rPr>
          <w:rFonts w:ascii="Times New Roman" w:hAnsi="Times New Roman"/>
          <w:sz w:val="24"/>
          <w:szCs w:val="24"/>
        </w:rPr>
        <w:t>;</w:t>
      </w:r>
    </w:p>
    <w:p w14:paraId="6AA24917" w14:textId="621FC6F8" w:rsidR="00BC656F" w:rsidRDefault="00BC656F" w:rsidP="00947CE3">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неплатоспроможність – стан </w:t>
      </w:r>
      <w:r w:rsidR="00822AA4">
        <w:rPr>
          <w:rFonts w:ascii="Times New Roman" w:hAnsi="Times New Roman"/>
          <w:sz w:val="24"/>
          <w:szCs w:val="24"/>
        </w:rPr>
        <w:t>сторони правочину щодо цінних паперів</w:t>
      </w:r>
      <w:r w:rsidRPr="005D1193">
        <w:rPr>
          <w:rFonts w:ascii="Times New Roman" w:hAnsi="Times New Roman"/>
          <w:sz w:val="24"/>
          <w:szCs w:val="24"/>
        </w:rPr>
        <w:t xml:space="preserve">, який виникає у разі набрання щодо </w:t>
      </w:r>
      <w:r w:rsidR="00822AA4">
        <w:rPr>
          <w:rFonts w:ascii="Times New Roman" w:hAnsi="Times New Roman"/>
          <w:sz w:val="24"/>
          <w:szCs w:val="24"/>
        </w:rPr>
        <w:t>неї</w:t>
      </w:r>
      <w:r w:rsidRPr="005D1193">
        <w:rPr>
          <w:rFonts w:ascii="Times New Roman" w:hAnsi="Times New Roman"/>
          <w:sz w:val="24"/>
          <w:szCs w:val="24"/>
        </w:rPr>
        <w:t xml:space="preserve"> законної сили (чинності) одним з рішень, передбачених  </w:t>
      </w:r>
      <w:r w:rsidRPr="0034108A">
        <w:rPr>
          <w:rFonts w:ascii="Times New Roman" w:hAnsi="Times New Roman"/>
          <w:sz w:val="24"/>
          <w:szCs w:val="24"/>
        </w:rPr>
        <w:t>частиною 1 статті 5</w:t>
      </w:r>
      <w:r w:rsidR="00FD1B8B" w:rsidRPr="0034108A">
        <w:rPr>
          <w:rFonts w:ascii="Times New Roman" w:hAnsi="Times New Roman"/>
          <w:sz w:val="24"/>
          <w:szCs w:val="24"/>
          <w:vertAlign w:val="superscript"/>
        </w:rPr>
        <w:t>4</w:t>
      </w:r>
      <w:r w:rsidRPr="0034108A">
        <w:rPr>
          <w:rFonts w:ascii="Times New Roman" w:hAnsi="Times New Roman"/>
          <w:sz w:val="24"/>
          <w:szCs w:val="24"/>
        </w:rPr>
        <w:t xml:space="preserve"> Закону України «Про цінні папери та фондовий ринок»;</w:t>
      </w:r>
    </w:p>
    <w:p w14:paraId="19637346" w14:textId="793F5072" w:rsidR="0007052A" w:rsidRPr="005D1193" w:rsidRDefault="0007052A" w:rsidP="0007052A">
      <w:pPr>
        <w:tabs>
          <w:tab w:val="left" w:pos="993"/>
        </w:tabs>
        <w:spacing w:after="120" w:line="240" w:lineRule="auto"/>
        <w:ind w:firstLine="709"/>
        <w:jc w:val="both"/>
        <w:rPr>
          <w:rFonts w:ascii="Times New Roman" w:hAnsi="Times New Roman"/>
          <w:sz w:val="24"/>
          <w:szCs w:val="24"/>
        </w:rPr>
      </w:pPr>
      <w:r>
        <w:rPr>
          <w:rFonts w:ascii="Times New Roman" w:hAnsi="Times New Roman"/>
          <w:sz w:val="24"/>
          <w:szCs w:val="24"/>
          <w:lang w:val="ru-RU"/>
        </w:rPr>
        <w:t>по</w:t>
      </w:r>
      <w:r>
        <w:rPr>
          <w:rFonts w:ascii="Times New Roman" w:hAnsi="Times New Roman"/>
          <w:sz w:val="24"/>
          <w:szCs w:val="24"/>
        </w:rPr>
        <w:t xml:space="preserve">зичальник </w:t>
      </w:r>
      <w:r w:rsidR="00732020">
        <w:rPr>
          <w:rFonts w:ascii="Times New Roman" w:hAnsi="Times New Roman"/>
          <w:sz w:val="24"/>
          <w:szCs w:val="24"/>
        </w:rPr>
        <w:t>–</w:t>
      </w:r>
      <w:r>
        <w:rPr>
          <w:rFonts w:ascii="Times New Roman" w:hAnsi="Times New Roman"/>
          <w:sz w:val="24"/>
          <w:szCs w:val="24"/>
        </w:rPr>
        <w:t xml:space="preserve"> продавець</w:t>
      </w:r>
      <w:r w:rsidR="00732020">
        <w:rPr>
          <w:rFonts w:ascii="Times New Roman" w:hAnsi="Times New Roman"/>
          <w:sz w:val="24"/>
          <w:szCs w:val="24"/>
        </w:rPr>
        <w:t xml:space="preserve"> цінних папері</w:t>
      </w:r>
      <w:proofErr w:type="gramStart"/>
      <w:r w:rsidR="00732020">
        <w:rPr>
          <w:rFonts w:ascii="Times New Roman" w:hAnsi="Times New Roman"/>
          <w:sz w:val="24"/>
          <w:szCs w:val="24"/>
        </w:rPr>
        <w:t>в</w:t>
      </w:r>
      <w:proofErr w:type="gramEnd"/>
      <w:r>
        <w:rPr>
          <w:rFonts w:ascii="Times New Roman" w:hAnsi="Times New Roman"/>
          <w:sz w:val="24"/>
          <w:szCs w:val="24"/>
        </w:rPr>
        <w:t xml:space="preserve"> </w:t>
      </w:r>
      <w:r w:rsidRPr="004F028F">
        <w:rPr>
          <w:rFonts w:ascii="Times New Roman" w:hAnsi="Times New Roman"/>
          <w:sz w:val="24"/>
          <w:szCs w:val="24"/>
        </w:rPr>
        <w:t xml:space="preserve">за </w:t>
      </w:r>
      <w:r w:rsidR="00822AA4">
        <w:rPr>
          <w:rFonts w:ascii="Times New Roman" w:hAnsi="Times New Roman"/>
          <w:sz w:val="24"/>
          <w:szCs w:val="24"/>
        </w:rPr>
        <w:t>першою</w:t>
      </w:r>
      <w:r w:rsidRPr="004F028F">
        <w:rPr>
          <w:rFonts w:ascii="Times New Roman" w:hAnsi="Times New Roman"/>
          <w:sz w:val="24"/>
          <w:szCs w:val="24"/>
        </w:rPr>
        <w:t xml:space="preserve"> частиною договору РЕПО</w:t>
      </w:r>
      <w:r>
        <w:rPr>
          <w:rFonts w:ascii="Times New Roman" w:hAnsi="Times New Roman"/>
          <w:sz w:val="24"/>
          <w:szCs w:val="24"/>
        </w:rPr>
        <w:t>;</w:t>
      </w:r>
    </w:p>
    <w:p w14:paraId="55EEB341" w14:textId="7A615386" w:rsidR="00BC656F" w:rsidRPr="005D1193" w:rsidRDefault="00BC656F" w:rsidP="00947CE3">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lastRenderedPageBreak/>
        <w:t>поточні зобов’язання учасника клірингу – зобов’язання учасника клірингу, дата виконання яких настала поточного операційного дня;</w:t>
      </w:r>
    </w:p>
    <w:p w14:paraId="5A4C98EA" w14:textId="16765777" w:rsidR="00402D39" w:rsidRPr="005D1193" w:rsidRDefault="0004237E"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п</w:t>
      </w:r>
      <w:r w:rsidR="00402D39" w:rsidRPr="005D1193">
        <w:rPr>
          <w:rFonts w:ascii="Times New Roman" w:hAnsi="Times New Roman"/>
          <w:sz w:val="24"/>
          <w:szCs w:val="24"/>
        </w:rPr>
        <w:t>римусове припинення зобов</w:t>
      </w:r>
      <w:r w:rsidR="005F41FA" w:rsidRPr="005D1193">
        <w:rPr>
          <w:rFonts w:ascii="Times New Roman" w:hAnsi="Times New Roman"/>
          <w:sz w:val="24"/>
          <w:szCs w:val="24"/>
        </w:rPr>
        <w:t>’</w:t>
      </w:r>
      <w:r w:rsidR="00402D39" w:rsidRPr="005D1193">
        <w:rPr>
          <w:rFonts w:ascii="Times New Roman" w:hAnsi="Times New Roman"/>
          <w:sz w:val="24"/>
          <w:szCs w:val="24"/>
        </w:rPr>
        <w:t xml:space="preserve">язань </w:t>
      </w:r>
      <w:r w:rsidR="00746AB0" w:rsidRPr="005D1193">
        <w:rPr>
          <w:rFonts w:ascii="Times New Roman" w:hAnsi="Times New Roman"/>
          <w:sz w:val="24"/>
          <w:szCs w:val="24"/>
        </w:rPr>
        <w:t>–</w:t>
      </w:r>
      <w:r w:rsidRPr="005D1193">
        <w:rPr>
          <w:rFonts w:ascii="Times New Roman" w:hAnsi="Times New Roman"/>
          <w:sz w:val="24"/>
          <w:szCs w:val="24"/>
        </w:rPr>
        <w:t xml:space="preserve"> припинення Розрахунковим центром зобов</w:t>
      </w:r>
      <w:r w:rsidR="005F41FA" w:rsidRPr="005D1193">
        <w:rPr>
          <w:rFonts w:ascii="Times New Roman" w:hAnsi="Times New Roman"/>
          <w:sz w:val="24"/>
          <w:szCs w:val="24"/>
        </w:rPr>
        <w:t>’</w:t>
      </w:r>
      <w:r w:rsidRPr="005D1193">
        <w:rPr>
          <w:rFonts w:ascii="Times New Roman" w:hAnsi="Times New Roman"/>
          <w:sz w:val="24"/>
          <w:szCs w:val="24"/>
        </w:rPr>
        <w:t>язань учасник</w:t>
      </w:r>
      <w:r w:rsidR="001B5483" w:rsidRPr="005D1193">
        <w:rPr>
          <w:rFonts w:ascii="Times New Roman" w:hAnsi="Times New Roman"/>
          <w:sz w:val="24"/>
          <w:szCs w:val="24"/>
        </w:rPr>
        <w:t>ів</w:t>
      </w:r>
      <w:r w:rsidRPr="005D1193">
        <w:rPr>
          <w:rFonts w:ascii="Times New Roman" w:hAnsi="Times New Roman"/>
          <w:sz w:val="24"/>
          <w:szCs w:val="24"/>
        </w:rPr>
        <w:t xml:space="preserve"> клірингу</w:t>
      </w:r>
      <w:r w:rsidR="00F83000" w:rsidRPr="005D1193">
        <w:rPr>
          <w:rFonts w:ascii="Times New Roman" w:hAnsi="Times New Roman"/>
          <w:sz w:val="24"/>
          <w:szCs w:val="24"/>
        </w:rPr>
        <w:t xml:space="preserve"> </w:t>
      </w:r>
      <w:r w:rsidR="004E6AB5" w:rsidRPr="005D1193">
        <w:rPr>
          <w:rFonts w:ascii="Times New Roman" w:hAnsi="Times New Roman"/>
          <w:sz w:val="24"/>
          <w:szCs w:val="24"/>
        </w:rPr>
        <w:t xml:space="preserve">та Розрахункового центру як центрального контрагента </w:t>
      </w:r>
      <w:r w:rsidRPr="005D1193">
        <w:rPr>
          <w:rFonts w:ascii="Times New Roman" w:hAnsi="Times New Roman"/>
          <w:sz w:val="24"/>
          <w:szCs w:val="24"/>
        </w:rPr>
        <w:t xml:space="preserve">в разі невиконання </w:t>
      </w:r>
      <w:r w:rsidR="00F46094" w:rsidRPr="005D1193">
        <w:rPr>
          <w:rFonts w:ascii="Times New Roman" w:hAnsi="Times New Roman"/>
          <w:sz w:val="24"/>
          <w:szCs w:val="24"/>
        </w:rPr>
        <w:t xml:space="preserve">учасником клірингу </w:t>
      </w:r>
      <w:r w:rsidRPr="005D1193">
        <w:rPr>
          <w:rFonts w:ascii="Times New Roman" w:hAnsi="Times New Roman"/>
          <w:sz w:val="24"/>
          <w:szCs w:val="24"/>
        </w:rPr>
        <w:t>розрахунків за правочином</w:t>
      </w:r>
      <w:r w:rsidR="00BA6A7D" w:rsidRPr="005D1193">
        <w:rPr>
          <w:rFonts w:ascii="Times New Roman" w:hAnsi="Times New Roman"/>
          <w:sz w:val="24"/>
          <w:szCs w:val="24"/>
        </w:rPr>
        <w:t xml:space="preserve"> щодо цінних паперів</w:t>
      </w:r>
      <w:r w:rsidR="008379D2" w:rsidRPr="005D1193">
        <w:rPr>
          <w:rFonts w:ascii="Times New Roman" w:hAnsi="Times New Roman"/>
          <w:sz w:val="24"/>
          <w:szCs w:val="24"/>
        </w:rPr>
        <w:t xml:space="preserve"> або</w:t>
      </w:r>
      <w:r w:rsidRPr="005D1193">
        <w:rPr>
          <w:rFonts w:ascii="Times New Roman" w:hAnsi="Times New Roman"/>
          <w:sz w:val="24"/>
          <w:szCs w:val="24"/>
        </w:rPr>
        <w:t xml:space="preserve"> маржинальної вимоги</w:t>
      </w:r>
      <w:r w:rsidR="00D25F60" w:rsidRPr="005D1193">
        <w:rPr>
          <w:rFonts w:ascii="Times New Roman" w:hAnsi="Times New Roman"/>
          <w:sz w:val="24"/>
          <w:szCs w:val="24"/>
        </w:rPr>
        <w:t>, що здійснюється відповідно до статті 604 Цивільного кодексу України</w:t>
      </w:r>
      <w:r w:rsidR="00BA6A7D" w:rsidRPr="005D1193">
        <w:rPr>
          <w:rFonts w:ascii="Times New Roman" w:hAnsi="Times New Roman"/>
          <w:sz w:val="24"/>
          <w:szCs w:val="24"/>
        </w:rPr>
        <w:t>;</w:t>
      </w:r>
    </w:p>
    <w:p w14:paraId="47934277" w14:textId="5373B9A3" w:rsidR="00D52F1A" w:rsidRPr="005D1193" w:rsidRDefault="00D52F1A"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РЕПО з контролем ризиків – режим укладання та розрахунків за договорами РЕПО, при якому Розрахунковий центр надає учасникам клірингу гарантії виконання зобов</w:t>
      </w:r>
      <w:r w:rsidR="005F41FA" w:rsidRPr="005D1193">
        <w:rPr>
          <w:rFonts w:ascii="Times New Roman" w:hAnsi="Times New Roman"/>
          <w:sz w:val="24"/>
          <w:szCs w:val="24"/>
        </w:rPr>
        <w:t>’</w:t>
      </w:r>
      <w:r w:rsidRPr="005D1193">
        <w:rPr>
          <w:rFonts w:ascii="Times New Roman" w:hAnsi="Times New Roman"/>
          <w:sz w:val="24"/>
          <w:szCs w:val="24"/>
        </w:rPr>
        <w:t>язань за договорами РЕПО або передачі учаснику клірингу</w:t>
      </w:r>
      <w:r w:rsidR="005C7E77" w:rsidRPr="005D1193">
        <w:rPr>
          <w:rFonts w:ascii="Times New Roman" w:hAnsi="Times New Roman"/>
          <w:sz w:val="24"/>
          <w:szCs w:val="24"/>
        </w:rPr>
        <w:t>, який є добросовісною стороною договору РЕПО,</w:t>
      </w:r>
      <w:r w:rsidRPr="005D1193">
        <w:rPr>
          <w:rFonts w:ascii="Times New Roman" w:hAnsi="Times New Roman"/>
          <w:sz w:val="24"/>
          <w:szCs w:val="24"/>
        </w:rPr>
        <w:t xml:space="preserve"> активів в якості штрафу</w:t>
      </w:r>
      <w:r w:rsidR="00931137">
        <w:rPr>
          <w:rFonts w:ascii="Times New Roman" w:hAnsi="Times New Roman"/>
          <w:sz w:val="24"/>
          <w:szCs w:val="24"/>
          <w:lang w:val="ru-RU"/>
        </w:rPr>
        <w:t>;</w:t>
      </w:r>
      <w:r w:rsidR="00A35B8C">
        <w:rPr>
          <w:rFonts w:ascii="Times New Roman" w:hAnsi="Times New Roman"/>
          <w:sz w:val="24"/>
          <w:szCs w:val="24"/>
        </w:rPr>
        <w:t xml:space="preserve"> </w:t>
      </w:r>
    </w:p>
    <w:p w14:paraId="3D81484F" w14:textId="0D4A992F" w:rsidR="00CE14AC" w:rsidRPr="005D1193" w:rsidRDefault="00CE14AC"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ризик – </w:t>
      </w:r>
      <w:r w:rsidR="00A17835" w:rsidRPr="005D1193">
        <w:rPr>
          <w:rFonts w:ascii="Times New Roman" w:hAnsi="Times New Roman"/>
          <w:sz w:val="24"/>
          <w:szCs w:val="24"/>
          <w:lang w:eastAsia="uk-UA"/>
        </w:rPr>
        <w:t>імовірність виникнення збитків або додаткових втрат або недоотримання доходів, або невиконання стороною договірних зобов</w:t>
      </w:r>
      <w:r w:rsidR="005F41FA" w:rsidRPr="005D1193">
        <w:rPr>
          <w:rFonts w:ascii="Times New Roman" w:hAnsi="Times New Roman"/>
          <w:sz w:val="24"/>
          <w:szCs w:val="24"/>
          <w:lang w:eastAsia="uk-UA"/>
        </w:rPr>
        <w:t>’</w:t>
      </w:r>
      <w:r w:rsidR="00A17835" w:rsidRPr="005D1193">
        <w:rPr>
          <w:rFonts w:ascii="Times New Roman" w:hAnsi="Times New Roman"/>
          <w:sz w:val="24"/>
          <w:szCs w:val="24"/>
          <w:lang w:eastAsia="uk-UA"/>
        </w:rPr>
        <w:t>язань унаслідок впливу негативних внутрішніх та зовнішніх факторів</w:t>
      </w:r>
      <w:r w:rsidRPr="005D1193">
        <w:rPr>
          <w:rFonts w:ascii="Times New Roman" w:hAnsi="Times New Roman"/>
          <w:sz w:val="24"/>
          <w:szCs w:val="24"/>
        </w:rPr>
        <w:t>;</w:t>
      </w:r>
    </w:p>
    <w:p w14:paraId="10BAE521" w14:textId="7DA3F407" w:rsidR="00CE14AC" w:rsidRPr="005D1193" w:rsidRDefault="005046E2" w:rsidP="000A39DA">
      <w:pPr>
        <w:tabs>
          <w:tab w:val="left" w:pos="993"/>
        </w:tabs>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ри</w:t>
      </w:r>
      <w:r w:rsidR="000354DE" w:rsidRPr="005D1193">
        <w:rPr>
          <w:rFonts w:ascii="Times New Roman" w:eastAsia="TimesNewRoman" w:hAnsi="Times New Roman"/>
          <w:sz w:val="24"/>
          <w:szCs w:val="24"/>
          <w:lang w:eastAsia="ru-RU"/>
        </w:rPr>
        <w:t>н</w:t>
      </w:r>
      <w:r w:rsidRPr="005D1193">
        <w:rPr>
          <w:rFonts w:ascii="Times New Roman" w:eastAsia="TimesNewRoman" w:hAnsi="Times New Roman"/>
          <w:sz w:val="24"/>
          <w:szCs w:val="24"/>
          <w:lang w:eastAsia="ru-RU"/>
        </w:rPr>
        <w:t xml:space="preserve">кова </w:t>
      </w:r>
      <w:r w:rsidR="00CE14AC" w:rsidRPr="005D1193">
        <w:rPr>
          <w:rFonts w:ascii="Times New Roman" w:eastAsia="TimesNewRoman" w:hAnsi="Times New Roman"/>
          <w:sz w:val="24"/>
          <w:szCs w:val="24"/>
          <w:lang w:eastAsia="ru-RU"/>
        </w:rPr>
        <w:t>вартість цінн</w:t>
      </w:r>
      <w:r w:rsidR="006B5390" w:rsidRPr="005D1193">
        <w:rPr>
          <w:rFonts w:ascii="Times New Roman" w:eastAsia="TimesNewRoman" w:hAnsi="Times New Roman"/>
          <w:sz w:val="24"/>
          <w:szCs w:val="24"/>
          <w:lang w:eastAsia="ru-RU"/>
        </w:rPr>
        <w:t>ого</w:t>
      </w:r>
      <w:r w:rsidR="00CE14AC" w:rsidRPr="005D1193">
        <w:rPr>
          <w:rFonts w:ascii="Times New Roman" w:eastAsia="TimesNewRoman" w:hAnsi="Times New Roman"/>
          <w:sz w:val="24"/>
          <w:szCs w:val="24"/>
          <w:lang w:eastAsia="ru-RU"/>
        </w:rPr>
        <w:t xml:space="preserve"> папер</w:t>
      </w:r>
      <w:r w:rsidR="006B5390" w:rsidRPr="005D1193">
        <w:rPr>
          <w:rFonts w:ascii="Times New Roman" w:eastAsia="TimesNewRoman" w:hAnsi="Times New Roman"/>
          <w:sz w:val="24"/>
          <w:szCs w:val="24"/>
          <w:lang w:eastAsia="ru-RU"/>
        </w:rPr>
        <w:t>у</w:t>
      </w:r>
      <w:r w:rsidR="00CE14AC" w:rsidRPr="005D1193">
        <w:rPr>
          <w:rFonts w:ascii="Times New Roman" w:eastAsia="TimesNewRoman" w:hAnsi="Times New Roman"/>
          <w:sz w:val="24"/>
          <w:szCs w:val="24"/>
          <w:lang w:eastAsia="ru-RU"/>
        </w:rPr>
        <w:t xml:space="preserve"> </w:t>
      </w:r>
      <w:r w:rsidR="00CE14AC" w:rsidRPr="005D1193">
        <w:rPr>
          <w:rFonts w:ascii="Times New Roman" w:hAnsi="Times New Roman"/>
          <w:sz w:val="24"/>
          <w:szCs w:val="24"/>
        </w:rPr>
        <w:t>– ціна цінн</w:t>
      </w:r>
      <w:r w:rsidR="006B5390" w:rsidRPr="005D1193">
        <w:rPr>
          <w:rFonts w:ascii="Times New Roman" w:hAnsi="Times New Roman"/>
          <w:sz w:val="24"/>
          <w:szCs w:val="24"/>
        </w:rPr>
        <w:t>ого</w:t>
      </w:r>
      <w:r w:rsidR="00CE14AC" w:rsidRPr="005D1193">
        <w:rPr>
          <w:rFonts w:ascii="Times New Roman" w:hAnsi="Times New Roman"/>
          <w:sz w:val="24"/>
          <w:szCs w:val="24"/>
        </w:rPr>
        <w:t xml:space="preserve"> папер</w:t>
      </w:r>
      <w:r w:rsidR="006B5390" w:rsidRPr="005D1193">
        <w:rPr>
          <w:rFonts w:ascii="Times New Roman" w:hAnsi="Times New Roman"/>
          <w:sz w:val="24"/>
          <w:szCs w:val="24"/>
        </w:rPr>
        <w:t>у</w:t>
      </w:r>
      <w:r w:rsidR="00CE14AC" w:rsidRPr="005D1193">
        <w:rPr>
          <w:rFonts w:ascii="Times New Roman" w:hAnsi="Times New Roman"/>
          <w:sz w:val="24"/>
          <w:szCs w:val="24"/>
        </w:rPr>
        <w:t>, яка визначається Розрахунковим центром відповідно до цього Положення;</w:t>
      </w:r>
    </w:p>
    <w:p w14:paraId="549DD80B" w14:textId="01E3537B" w:rsidR="00C751AE" w:rsidRPr="005D1193" w:rsidRDefault="00C751AE" w:rsidP="000A39DA">
      <w:pPr>
        <w:tabs>
          <w:tab w:val="left" w:pos="993"/>
        </w:tabs>
        <w:spacing w:after="120" w:line="240" w:lineRule="auto"/>
        <w:ind w:firstLine="709"/>
        <w:jc w:val="both"/>
        <w:rPr>
          <w:rFonts w:ascii="Times New Roman" w:eastAsia="TimesNewRoman" w:hAnsi="Times New Roman"/>
          <w:sz w:val="24"/>
          <w:szCs w:val="24"/>
          <w:lang w:eastAsia="ru-RU"/>
        </w:rPr>
      </w:pPr>
      <w:r w:rsidRPr="005D1193">
        <w:rPr>
          <w:rFonts w:ascii="Times New Roman" w:hAnsi="Times New Roman"/>
          <w:sz w:val="24"/>
          <w:szCs w:val="24"/>
        </w:rPr>
        <w:t xml:space="preserve">система управління ризиками – </w:t>
      </w:r>
      <w:r w:rsidRPr="005D1193">
        <w:rPr>
          <w:rFonts w:ascii="Times New Roman" w:hAnsi="Times New Roman"/>
          <w:sz w:val="24"/>
          <w:szCs w:val="24"/>
          <w:lang w:eastAsia="uk-UA"/>
        </w:rPr>
        <w:t>сукупність належним чином задокументованих і затверджених</w:t>
      </w:r>
      <w:r w:rsidRPr="005D1193">
        <w:rPr>
          <w:rFonts w:ascii="Times New Roman" w:hAnsi="Times New Roman"/>
          <w:sz w:val="24"/>
          <w:szCs w:val="24"/>
        </w:rPr>
        <w:t xml:space="preserve"> </w:t>
      </w:r>
      <w:r w:rsidRPr="005D1193">
        <w:rPr>
          <w:rFonts w:ascii="Times New Roman" w:hAnsi="Times New Roman"/>
          <w:sz w:val="24"/>
          <w:szCs w:val="24"/>
          <w:lang w:eastAsia="uk-UA"/>
        </w:rPr>
        <w:t>політики, методик і процедур управління ризиками, які визначають порядок дій, спрямованих на здійснення систематичного процесу виявлення, вимірювання, моніторингу, контролю, звітування та пом</w:t>
      </w:r>
      <w:r w:rsidR="005F41FA" w:rsidRPr="005D1193">
        <w:rPr>
          <w:rFonts w:ascii="Times New Roman" w:hAnsi="Times New Roman"/>
          <w:sz w:val="24"/>
          <w:szCs w:val="24"/>
          <w:lang w:eastAsia="uk-UA"/>
        </w:rPr>
        <w:t>’</w:t>
      </w:r>
      <w:r w:rsidRPr="005D1193">
        <w:rPr>
          <w:rFonts w:ascii="Times New Roman" w:hAnsi="Times New Roman"/>
          <w:sz w:val="24"/>
          <w:szCs w:val="24"/>
          <w:lang w:eastAsia="uk-UA"/>
        </w:rPr>
        <w:t>якшення всіх видів ризиків на всіх організаційних рівнях</w:t>
      </w:r>
      <w:r w:rsidRPr="005D1193">
        <w:rPr>
          <w:rFonts w:ascii="Times New Roman" w:hAnsi="Times New Roman"/>
          <w:sz w:val="24"/>
          <w:szCs w:val="24"/>
        </w:rPr>
        <w:t>;</w:t>
      </w:r>
      <w:r w:rsidRPr="005D1193">
        <w:rPr>
          <w:rFonts w:ascii="Times New Roman" w:eastAsia="TimesNewRoman" w:hAnsi="Times New Roman"/>
          <w:sz w:val="24"/>
          <w:szCs w:val="24"/>
          <w:lang w:eastAsia="ru-RU"/>
        </w:rPr>
        <w:t xml:space="preserve"> </w:t>
      </w:r>
    </w:p>
    <w:p w14:paraId="6CF4D87C" w14:textId="77777777" w:rsidR="00CE14AC" w:rsidRPr="005D1193" w:rsidRDefault="00CE14AC"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ціновий коридор – встановлені Розрахунковим центром обмеження на ціну цінного паперу, в межах яких учасники клірингу можуть укладати на фондовій біржі правочини щодо цінних паперів, розрахунки за якими будуть виконуватися способом гарантованих розрахунків.</w:t>
      </w:r>
    </w:p>
    <w:p w14:paraId="0822016A" w14:textId="2F3FA472" w:rsidR="00CE14AC" w:rsidRPr="005D1193" w:rsidRDefault="00CE14AC"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Інші терміни, що використовуються в Положенні, але не визначені ним, застосовуються у значеннях, наведених в інших внутрішніх документах Розрахункового центру та законодавстві України.</w:t>
      </w:r>
    </w:p>
    <w:p w14:paraId="1B9CF66F" w14:textId="4EECD5B1" w:rsidR="00461444" w:rsidRPr="005D1193" w:rsidRDefault="00CE14AC"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1.4. </w:t>
      </w:r>
      <w:r w:rsidR="00461444" w:rsidRPr="005D1193">
        <w:rPr>
          <w:rFonts w:ascii="Times New Roman" w:hAnsi="Times New Roman"/>
          <w:sz w:val="24"/>
          <w:szCs w:val="24"/>
        </w:rPr>
        <w:t xml:space="preserve">Розрахунковий центр здійснює свою діяльність як банк і забезпечує дотримання норм Закону України </w:t>
      </w:r>
      <w:r w:rsidR="005F194D" w:rsidRPr="005D1193">
        <w:rPr>
          <w:rFonts w:ascii="Times New Roman" w:hAnsi="Times New Roman"/>
          <w:sz w:val="24"/>
          <w:szCs w:val="24"/>
        </w:rPr>
        <w:t>"</w:t>
      </w:r>
      <w:r w:rsidR="00461444" w:rsidRPr="005D1193">
        <w:rPr>
          <w:rFonts w:ascii="Times New Roman" w:hAnsi="Times New Roman"/>
          <w:sz w:val="24"/>
          <w:szCs w:val="24"/>
        </w:rPr>
        <w:t>Про банки і банківську діяльність</w:t>
      </w:r>
      <w:r w:rsidR="005F194D" w:rsidRPr="005D1193">
        <w:rPr>
          <w:rFonts w:ascii="Times New Roman" w:hAnsi="Times New Roman"/>
          <w:sz w:val="24"/>
          <w:szCs w:val="24"/>
        </w:rPr>
        <w:t>"</w:t>
      </w:r>
      <w:r w:rsidR="00461444" w:rsidRPr="005D1193">
        <w:rPr>
          <w:rFonts w:ascii="Times New Roman" w:hAnsi="Times New Roman"/>
          <w:sz w:val="24"/>
          <w:szCs w:val="24"/>
        </w:rPr>
        <w:t>, як</w:t>
      </w:r>
      <w:r w:rsidR="00320C9B" w:rsidRPr="005D1193">
        <w:rPr>
          <w:rFonts w:ascii="Times New Roman" w:hAnsi="Times New Roman"/>
          <w:sz w:val="24"/>
          <w:szCs w:val="24"/>
        </w:rPr>
        <w:t>им</w:t>
      </w:r>
      <w:r w:rsidR="00461444" w:rsidRPr="005D1193">
        <w:rPr>
          <w:rFonts w:ascii="Times New Roman" w:hAnsi="Times New Roman"/>
          <w:sz w:val="24"/>
          <w:szCs w:val="24"/>
        </w:rPr>
        <w:t xml:space="preserve"> передбачено обов</w:t>
      </w:r>
      <w:r w:rsidR="005F41FA" w:rsidRPr="005D1193">
        <w:rPr>
          <w:rFonts w:ascii="Times New Roman" w:hAnsi="Times New Roman"/>
          <w:sz w:val="24"/>
          <w:szCs w:val="24"/>
        </w:rPr>
        <w:t>’</w:t>
      </w:r>
      <w:r w:rsidR="00461444" w:rsidRPr="005D1193">
        <w:rPr>
          <w:rFonts w:ascii="Times New Roman" w:hAnsi="Times New Roman"/>
          <w:sz w:val="24"/>
          <w:szCs w:val="24"/>
        </w:rPr>
        <w:t xml:space="preserve">язок банку створити адекватну систему управління ризиками, що має забезпечувати на постійній основі </w:t>
      </w:r>
      <w:r w:rsidR="00853F00" w:rsidRPr="005D1193">
        <w:rPr>
          <w:rFonts w:ascii="Times New Roman" w:hAnsi="Times New Roman"/>
          <w:sz w:val="24"/>
          <w:szCs w:val="24"/>
        </w:rPr>
        <w:t>систематичний процес виявлення, вимірювання, моніторингу, контролю, звітування та пом</w:t>
      </w:r>
      <w:r w:rsidR="005F41FA" w:rsidRPr="005D1193">
        <w:rPr>
          <w:rFonts w:ascii="Times New Roman" w:hAnsi="Times New Roman"/>
          <w:sz w:val="24"/>
          <w:szCs w:val="24"/>
        </w:rPr>
        <w:t>’</w:t>
      </w:r>
      <w:r w:rsidR="00853F00" w:rsidRPr="005D1193">
        <w:rPr>
          <w:rFonts w:ascii="Times New Roman" w:hAnsi="Times New Roman"/>
          <w:sz w:val="24"/>
          <w:szCs w:val="24"/>
        </w:rPr>
        <w:t xml:space="preserve">якшення всіх видів ризиків на всіх організаційних рівнях. </w:t>
      </w:r>
    </w:p>
    <w:p w14:paraId="6FA6B944" w14:textId="7024448A" w:rsidR="005F194D" w:rsidRPr="005D1193" w:rsidRDefault="00CE14AC"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1.5. </w:t>
      </w:r>
      <w:r w:rsidR="00461444" w:rsidRPr="005D1193">
        <w:rPr>
          <w:rFonts w:ascii="Times New Roman" w:hAnsi="Times New Roman"/>
          <w:sz w:val="24"/>
          <w:szCs w:val="24"/>
        </w:rPr>
        <w:t xml:space="preserve">Управління ризиками при провадженні Розрахунковим центром клірингової діяльності є складовою системи управління ризиками Розрахункового центру і здійснюється відповідно до </w:t>
      </w:r>
      <w:r w:rsidR="00061A8F" w:rsidRPr="005D1193">
        <w:rPr>
          <w:rFonts w:ascii="Times New Roman" w:hAnsi="Times New Roman"/>
          <w:sz w:val="24"/>
          <w:szCs w:val="24"/>
        </w:rPr>
        <w:t xml:space="preserve">цього Положення, </w:t>
      </w:r>
      <w:r w:rsidR="00887DC8" w:rsidRPr="005D1193">
        <w:rPr>
          <w:rFonts w:ascii="Times New Roman" w:hAnsi="Times New Roman"/>
          <w:sz w:val="24"/>
          <w:szCs w:val="24"/>
        </w:rPr>
        <w:t xml:space="preserve">Стратегії управління ризиками та </w:t>
      </w:r>
      <w:r w:rsidR="00461444" w:rsidRPr="005D1193">
        <w:rPr>
          <w:rFonts w:ascii="Times New Roman" w:hAnsi="Times New Roman"/>
          <w:sz w:val="24"/>
          <w:szCs w:val="24"/>
        </w:rPr>
        <w:t xml:space="preserve">політик управління </w:t>
      </w:r>
      <w:r w:rsidR="00887DC8" w:rsidRPr="005D1193">
        <w:rPr>
          <w:rFonts w:ascii="Times New Roman" w:hAnsi="Times New Roman"/>
          <w:sz w:val="24"/>
          <w:szCs w:val="24"/>
        </w:rPr>
        <w:t xml:space="preserve">окремими </w:t>
      </w:r>
      <w:r w:rsidR="00461444" w:rsidRPr="005D1193">
        <w:rPr>
          <w:rFonts w:ascii="Times New Roman" w:hAnsi="Times New Roman"/>
          <w:sz w:val="24"/>
          <w:szCs w:val="24"/>
        </w:rPr>
        <w:t>ризиками Розрахункового центру як банку.</w:t>
      </w:r>
    </w:p>
    <w:p w14:paraId="4081AB19" w14:textId="77777777" w:rsidR="000F63F3" w:rsidRPr="005D1193" w:rsidRDefault="000F63F3" w:rsidP="000A39DA">
      <w:pPr>
        <w:tabs>
          <w:tab w:val="left" w:pos="993"/>
        </w:tabs>
        <w:spacing w:after="120" w:line="240" w:lineRule="auto"/>
        <w:ind w:firstLine="709"/>
        <w:jc w:val="both"/>
        <w:rPr>
          <w:rFonts w:ascii="Times New Roman" w:hAnsi="Times New Roman"/>
          <w:sz w:val="24"/>
          <w:szCs w:val="24"/>
        </w:rPr>
      </w:pPr>
    </w:p>
    <w:p w14:paraId="2B7D43ED" w14:textId="3E391611" w:rsidR="00175081" w:rsidRPr="005D1193" w:rsidRDefault="00175081" w:rsidP="00F32A17">
      <w:pPr>
        <w:tabs>
          <w:tab w:val="left" w:pos="993"/>
          <w:tab w:val="left" w:pos="3585"/>
        </w:tabs>
        <w:spacing w:after="120" w:line="240" w:lineRule="auto"/>
        <w:ind w:firstLine="709"/>
        <w:jc w:val="center"/>
        <w:rPr>
          <w:rFonts w:ascii="Times New Roman" w:hAnsi="Times New Roman"/>
          <w:b/>
          <w:sz w:val="24"/>
          <w:szCs w:val="24"/>
        </w:rPr>
      </w:pPr>
      <w:r w:rsidRPr="005D1193">
        <w:rPr>
          <w:rFonts w:ascii="Times New Roman" w:hAnsi="Times New Roman"/>
          <w:b/>
          <w:sz w:val="24"/>
          <w:szCs w:val="24"/>
        </w:rPr>
        <w:t>2. Ризики та їх класифікація</w:t>
      </w:r>
    </w:p>
    <w:p w14:paraId="7FA3A546" w14:textId="77777777" w:rsidR="00175081" w:rsidRPr="005D1193" w:rsidRDefault="00E50778" w:rsidP="000A39DA">
      <w:pPr>
        <w:tabs>
          <w:tab w:val="left" w:pos="993"/>
          <w:tab w:val="left" w:pos="1134"/>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2</w:t>
      </w:r>
      <w:r w:rsidR="00175081" w:rsidRPr="005D1193">
        <w:rPr>
          <w:rFonts w:ascii="Times New Roman" w:hAnsi="Times New Roman"/>
          <w:sz w:val="24"/>
          <w:szCs w:val="24"/>
        </w:rPr>
        <w:t>.1. Розрахунковий центр при провадженні клірингової діяльності та виконанні функцій центрального контрагента наражається на такі основні ризики:</w:t>
      </w:r>
    </w:p>
    <w:p w14:paraId="6A40A9C7" w14:textId="3EAD3AD2" w:rsidR="00175081" w:rsidRPr="005D1193" w:rsidRDefault="00E50778"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2</w:t>
      </w:r>
      <w:r w:rsidR="00175081" w:rsidRPr="005D1193">
        <w:rPr>
          <w:rFonts w:ascii="Times New Roman" w:eastAsia="TimesNewRoman" w:hAnsi="Times New Roman"/>
          <w:sz w:val="24"/>
          <w:szCs w:val="24"/>
          <w:lang w:eastAsia="ru-RU"/>
        </w:rPr>
        <w:t>.1.</w:t>
      </w:r>
      <w:r w:rsidR="00CB0C9B" w:rsidRPr="005D1193">
        <w:rPr>
          <w:rFonts w:ascii="Times New Roman" w:eastAsia="TimesNewRoman" w:hAnsi="Times New Roman"/>
          <w:sz w:val="24"/>
          <w:szCs w:val="24"/>
          <w:lang w:eastAsia="ru-RU"/>
        </w:rPr>
        <w:t>1</w:t>
      </w:r>
      <w:r w:rsidR="00175081" w:rsidRPr="005D1193">
        <w:rPr>
          <w:rFonts w:ascii="Times New Roman" w:eastAsia="TimesNewRoman" w:hAnsi="Times New Roman"/>
          <w:sz w:val="24"/>
          <w:szCs w:val="24"/>
          <w:lang w:eastAsia="ru-RU"/>
        </w:rPr>
        <w:t>. Ризик ліквідності – це наявний або потенційний ризик, який може виникнути у Розрахункового центру через неспроможність сторони (учасника клірингу</w:t>
      </w:r>
      <w:r w:rsidR="00BC656F" w:rsidRPr="005D1193">
        <w:rPr>
          <w:rFonts w:ascii="Times New Roman" w:eastAsia="TimesNewRoman" w:hAnsi="Times New Roman"/>
          <w:sz w:val="24"/>
          <w:szCs w:val="24"/>
          <w:lang w:eastAsia="ru-RU"/>
        </w:rPr>
        <w:t xml:space="preserve"> </w:t>
      </w:r>
      <w:r w:rsidR="00175081" w:rsidRPr="005D1193">
        <w:rPr>
          <w:rFonts w:ascii="Times New Roman" w:eastAsia="TimesNewRoman" w:hAnsi="Times New Roman"/>
          <w:sz w:val="24"/>
          <w:szCs w:val="24"/>
          <w:lang w:eastAsia="ru-RU"/>
        </w:rPr>
        <w:t>/</w:t>
      </w:r>
      <w:r w:rsidR="00BC656F" w:rsidRPr="005D1193">
        <w:rPr>
          <w:rFonts w:ascii="Times New Roman" w:eastAsia="TimesNewRoman" w:hAnsi="Times New Roman"/>
          <w:sz w:val="24"/>
          <w:szCs w:val="24"/>
          <w:lang w:eastAsia="ru-RU"/>
        </w:rPr>
        <w:t xml:space="preserve"> </w:t>
      </w:r>
      <w:r w:rsidR="00175081" w:rsidRPr="005D1193">
        <w:rPr>
          <w:rFonts w:ascii="Times New Roman" w:eastAsia="TimesNewRoman" w:hAnsi="Times New Roman"/>
          <w:sz w:val="24"/>
          <w:szCs w:val="24"/>
          <w:lang w:eastAsia="ru-RU"/>
        </w:rPr>
        <w:t>контрагента) виконати взяті на себе зобов</w:t>
      </w:r>
      <w:r w:rsidR="005F41FA" w:rsidRPr="005D1193">
        <w:rPr>
          <w:rFonts w:ascii="Times New Roman" w:eastAsia="TimesNewRoman" w:hAnsi="Times New Roman"/>
          <w:sz w:val="24"/>
          <w:szCs w:val="24"/>
          <w:lang w:eastAsia="ru-RU"/>
        </w:rPr>
        <w:t>’</w:t>
      </w:r>
      <w:r w:rsidR="00175081" w:rsidRPr="005D1193">
        <w:rPr>
          <w:rFonts w:ascii="Times New Roman" w:eastAsia="TimesNewRoman" w:hAnsi="Times New Roman"/>
          <w:sz w:val="24"/>
          <w:szCs w:val="24"/>
          <w:lang w:eastAsia="ru-RU"/>
        </w:rPr>
        <w:t>язання</w:t>
      </w:r>
      <w:r w:rsidR="00175081" w:rsidRPr="005D1193" w:rsidDel="000B7E2A">
        <w:rPr>
          <w:rFonts w:ascii="Times New Roman" w:eastAsia="TimesNewRoman" w:hAnsi="Times New Roman"/>
          <w:sz w:val="24"/>
          <w:szCs w:val="24"/>
          <w:lang w:eastAsia="ru-RU"/>
        </w:rPr>
        <w:t xml:space="preserve"> </w:t>
      </w:r>
      <w:r w:rsidR="00175081" w:rsidRPr="005D1193">
        <w:rPr>
          <w:rFonts w:ascii="Times New Roman" w:eastAsia="TimesNewRoman" w:hAnsi="Times New Roman"/>
          <w:sz w:val="24"/>
          <w:szCs w:val="24"/>
          <w:lang w:eastAsia="ru-RU"/>
        </w:rPr>
        <w:t xml:space="preserve">у належні строки та в повному обсязі, не зазнавши при цьому неприйнятних втрат. </w:t>
      </w:r>
    </w:p>
    <w:p w14:paraId="13BA67F4" w14:textId="6120BA05" w:rsidR="00175081" w:rsidRPr="005D1193" w:rsidRDefault="00E50778" w:rsidP="000A39DA">
      <w:pPr>
        <w:tabs>
          <w:tab w:val="left" w:pos="284"/>
          <w:tab w:val="left" w:pos="993"/>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eastAsia="TimesNewRoman" w:hAnsi="Times New Roman"/>
          <w:sz w:val="24"/>
          <w:szCs w:val="24"/>
          <w:lang w:eastAsia="ru-RU"/>
        </w:rPr>
        <w:t>2</w:t>
      </w:r>
      <w:r w:rsidR="00175081" w:rsidRPr="005D1193">
        <w:rPr>
          <w:rFonts w:ascii="Times New Roman" w:eastAsia="TimesNewRoman" w:hAnsi="Times New Roman"/>
          <w:sz w:val="24"/>
          <w:szCs w:val="24"/>
          <w:lang w:eastAsia="ru-RU"/>
        </w:rPr>
        <w:t>.1.</w:t>
      </w:r>
      <w:r w:rsidR="00CB0C9B" w:rsidRPr="005D1193">
        <w:rPr>
          <w:rFonts w:ascii="Times New Roman" w:eastAsia="TimesNewRoman" w:hAnsi="Times New Roman"/>
          <w:sz w:val="24"/>
          <w:szCs w:val="24"/>
          <w:lang w:eastAsia="ru-RU"/>
        </w:rPr>
        <w:t>2</w:t>
      </w:r>
      <w:r w:rsidR="00175081" w:rsidRPr="005D1193">
        <w:rPr>
          <w:rFonts w:ascii="Times New Roman" w:eastAsia="TimesNewRoman" w:hAnsi="Times New Roman"/>
          <w:sz w:val="24"/>
          <w:szCs w:val="24"/>
          <w:lang w:eastAsia="ru-RU"/>
        </w:rPr>
        <w:t xml:space="preserve">. Ринковий ризик – це наявний або потенційний ризик, який може виникнути у Розрахункового центру </w:t>
      </w:r>
      <w:r w:rsidR="00B32D0F" w:rsidRPr="005D1193">
        <w:rPr>
          <w:rFonts w:ascii="Times New Roman" w:eastAsia="TimesNewRoman" w:hAnsi="Times New Roman"/>
          <w:sz w:val="24"/>
          <w:szCs w:val="24"/>
          <w:lang w:eastAsia="ru-RU"/>
        </w:rPr>
        <w:t>унаслідо</w:t>
      </w:r>
      <w:r w:rsidR="00F55F65" w:rsidRPr="005D1193">
        <w:rPr>
          <w:rFonts w:ascii="Times New Roman" w:eastAsia="TimesNewRoman" w:hAnsi="Times New Roman"/>
          <w:sz w:val="24"/>
          <w:szCs w:val="24"/>
          <w:lang w:eastAsia="ru-RU"/>
        </w:rPr>
        <w:t>к</w:t>
      </w:r>
      <w:r w:rsidR="00B32D0F" w:rsidRPr="005D1193">
        <w:rPr>
          <w:rFonts w:ascii="Times New Roman" w:eastAsia="TimesNewRoman" w:hAnsi="Times New Roman"/>
          <w:sz w:val="24"/>
          <w:szCs w:val="24"/>
          <w:lang w:eastAsia="ru-RU"/>
        </w:rPr>
        <w:t xml:space="preserve"> </w:t>
      </w:r>
      <w:r w:rsidR="00175081" w:rsidRPr="005D1193">
        <w:rPr>
          <w:rFonts w:ascii="Times New Roman" w:eastAsia="TimesNewRoman" w:hAnsi="Times New Roman"/>
          <w:sz w:val="24"/>
          <w:szCs w:val="24"/>
          <w:lang w:eastAsia="ru-RU"/>
        </w:rPr>
        <w:t>несприятлив</w:t>
      </w:r>
      <w:r w:rsidR="00B32D0F" w:rsidRPr="005D1193">
        <w:rPr>
          <w:rFonts w:ascii="Times New Roman" w:eastAsia="TimesNewRoman" w:hAnsi="Times New Roman"/>
          <w:sz w:val="24"/>
          <w:szCs w:val="24"/>
          <w:lang w:eastAsia="ru-RU"/>
        </w:rPr>
        <w:t>их</w:t>
      </w:r>
      <w:r w:rsidR="00175081" w:rsidRPr="005D1193">
        <w:rPr>
          <w:rFonts w:ascii="Times New Roman" w:eastAsia="TimesNewRoman" w:hAnsi="Times New Roman"/>
          <w:sz w:val="24"/>
          <w:szCs w:val="24"/>
          <w:lang w:eastAsia="ru-RU"/>
        </w:rPr>
        <w:t xml:space="preserve"> </w:t>
      </w:r>
      <w:r w:rsidR="00B32D0F" w:rsidRPr="005D1193">
        <w:rPr>
          <w:rFonts w:ascii="Times New Roman" w:eastAsia="TimesNewRoman" w:hAnsi="Times New Roman"/>
          <w:sz w:val="24"/>
          <w:szCs w:val="24"/>
          <w:lang w:eastAsia="ru-RU"/>
        </w:rPr>
        <w:t xml:space="preserve">коливань </w:t>
      </w:r>
      <w:r w:rsidR="00175081" w:rsidRPr="005D1193">
        <w:rPr>
          <w:rFonts w:ascii="Times New Roman" w:eastAsia="TimesNewRoman" w:hAnsi="Times New Roman"/>
          <w:sz w:val="24"/>
          <w:szCs w:val="24"/>
          <w:lang w:eastAsia="ru-RU"/>
        </w:rPr>
        <w:t xml:space="preserve">вартості цінних паперів та інших фінансових інструментів, </w:t>
      </w:r>
      <w:r w:rsidR="00175081" w:rsidRPr="005D1193">
        <w:rPr>
          <w:rFonts w:ascii="Times New Roman" w:hAnsi="Times New Roman"/>
          <w:sz w:val="24"/>
          <w:szCs w:val="24"/>
        </w:rPr>
        <w:t>відсоткових ставок, курсів іноземних валют.</w:t>
      </w:r>
    </w:p>
    <w:p w14:paraId="3FCE2B12" w14:textId="41354935" w:rsidR="00A84552" w:rsidRPr="005D1193" w:rsidRDefault="00E50778" w:rsidP="000A39DA">
      <w:pPr>
        <w:pStyle w:val="a5"/>
        <w:tabs>
          <w:tab w:val="left" w:pos="0"/>
          <w:tab w:val="left" w:pos="993"/>
        </w:tabs>
        <w:autoSpaceDE w:val="0"/>
        <w:autoSpaceDN w:val="0"/>
        <w:adjustRightInd w:val="0"/>
        <w:spacing w:after="120" w:line="240" w:lineRule="auto"/>
        <w:ind w:left="0" w:firstLine="709"/>
        <w:contextualSpacing w:val="0"/>
        <w:jc w:val="both"/>
        <w:rPr>
          <w:rFonts w:ascii="Times New Roman" w:hAnsi="Times New Roman"/>
          <w:sz w:val="24"/>
          <w:szCs w:val="24"/>
          <w:lang w:eastAsia="uk-UA"/>
        </w:rPr>
      </w:pPr>
      <w:r w:rsidRPr="005D1193">
        <w:rPr>
          <w:rFonts w:ascii="Times New Roman" w:eastAsia="TimesNewRoman" w:hAnsi="Times New Roman"/>
          <w:sz w:val="24"/>
          <w:szCs w:val="24"/>
          <w:lang w:eastAsia="ru-RU"/>
        </w:rPr>
        <w:t>2</w:t>
      </w:r>
      <w:r w:rsidR="00175081" w:rsidRPr="005D1193">
        <w:rPr>
          <w:rFonts w:ascii="Times New Roman" w:eastAsia="TimesNewRoman" w:hAnsi="Times New Roman"/>
          <w:sz w:val="24"/>
          <w:szCs w:val="24"/>
          <w:lang w:eastAsia="ru-RU"/>
        </w:rPr>
        <w:t>.1.</w:t>
      </w:r>
      <w:r w:rsidR="00CB0C9B" w:rsidRPr="005D1193">
        <w:rPr>
          <w:rFonts w:ascii="Times New Roman" w:eastAsia="TimesNewRoman" w:hAnsi="Times New Roman"/>
          <w:sz w:val="24"/>
          <w:szCs w:val="24"/>
          <w:lang w:eastAsia="ru-RU"/>
        </w:rPr>
        <w:t>3</w:t>
      </w:r>
      <w:r w:rsidR="00175081" w:rsidRPr="005D1193">
        <w:rPr>
          <w:rFonts w:ascii="Times New Roman" w:eastAsia="TimesNewRoman" w:hAnsi="Times New Roman"/>
          <w:sz w:val="24"/>
          <w:szCs w:val="24"/>
          <w:lang w:eastAsia="ru-RU"/>
        </w:rPr>
        <w:t xml:space="preserve">. </w:t>
      </w:r>
      <w:r w:rsidR="00F55F65" w:rsidRPr="005D1193">
        <w:rPr>
          <w:rFonts w:ascii="Times New Roman" w:eastAsia="TimesNewRoman" w:hAnsi="Times New Roman"/>
          <w:sz w:val="24"/>
          <w:szCs w:val="24"/>
          <w:lang w:eastAsia="ru-RU"/>
        </w:rPr>
        <w:t>О</w:t>
      </w:r>
      <w:r w:rsidR="00F55F65" w:rsidRPr="005D1193">
        <w:rPr>
          <w:rFonts w:ascii="Times New Roman" w:hAnsi="Times New Roman"/>
          <w:sz w:val="24"/>
          <w:szCs w:val="24"/>
          <w:lang w:eastAsia="uk-UA"/>
        </w:rPr>
        <w:t>пераційний ризик</w:t>
      </w:r>
      <w:r w:rsidR="00F55F65" w:rsidRPr="005D1193">
        <w:rPr>
          <w:rFonts w:ascii="Times New Roman" w:hAnsi="Times New Roman"/>
          <w:b/>
          <w:sz w:val="24"/>
          <w:szCs w:val="24"/>
          <w:lang w:eastAsia="uk-UA"/>
        </w:rPr>
        <w:t xml:space="preserve"> </w:t>
      </w:r>
      <w:r w:rsidR="00FC7800" w:rsidRPr="005D1193">
        <w:rPr>
          <w:rFonts w:ascii="Times New Roman" w:hAnsi="Times New Roman"/>
          <w:b/>
          <w:sz w:val="24"/>
          <w:szCs w:val="24"/>
          <w:lang w:eastAsia="uk-UA"/>
        </w:rPr>
        <w:t>–</w:t>
      </w:r>
      <w:r w:rsidR="00F55F65" w:rsidRPr="005D1193">
        <w:rPr>
          <w:rFonts w:ascii="Times New Roman" w:hAnsi="Times New Roman"/>
          <w:b/>
          <w:sz w:val="24"/>
          <w:szCs w:val="24"/>
          <w:lang w:eastAsia="uk-UA"/>
        </w:rPr>
        <w:t xml:space="preserve"> </w:t>
      </w:r>
      <w:r w:rsidR="00FC7800" w:rsidRPr="005D1193">
        <w:rPr>
          <w:rFonts w:ascii="Times New Roman" w:hAnsi="Times New Roman"/>
          <w:sz w:val="24"/>
          <w:szCs w:val="24"/>
          <w:lang w:eastAsia="uk-UA"/>
        </w:rPr>
        <w:t>це</w:t>
      </w:r>
      <w:r w:rsidR="00FC7800" w:rsidRPr="005D1193">
        <w:rPr>
          <w:rFonts w:ascii="Times New Roman" w:hAnsi="Times New Roman"/>
          <w:b/>
          <w:sz w:val="24"/>
          <w:szCs w:val="24"/>
          <w:lang w:eastAsia="uk-UA"/>
        </w:rPr>
        <w:t xml:space="preserve"> </w:t>
      </w:r>
      <w:r w:rsidR="00F55F65" w:rsidRPr="005D1193">
        <w:rPr>
          <w:rFonts w:ascii="Times New Roman" w:hAnsi="Times New Roman"/>
          <w:sz w:val="24"/>
          <w:szCs w:val="24"/>
          <w:lang w:eastAsia="uk-UA"/>
        </w:rPr>
        <w:t xml:space="preserve">імовірність виникнення збитків або додаткових втрат або недоотримання запланованих доходів унаслідок недоліків або помилок в організації внутрішніх процесів, навмисних або ненавмисних дій працівників Розрахункового центру або інших осіб, збоїв у </w:t>
      </w:r>
      <w:r w:rsidR="00F55F65" w:rsidRPr="005D1193">
        <w:rPr>
          <w:rFonts w:ascii="Times New Roman" w:hAnsi="Times New Roman"/>
          <w:sz w:val="24"/>
          <w:szCs w:val="24"/>
          <w:lang w:eastAsia="uk-UA"/>
        </w:rPr>
        <w:lastRenderedPageBreak/>
        <w:t xml:space="preserve">роботі інформаційних систем Розрахункового центру або внаслідок впливу зовнішніх факторів. Операційний ризик уключає юридичний ризик, однак має виключати ризик </w:t>
      </w:r>
      <w:r w:rsidR="00B72CD0" w:rsidRPr="005D1193">
        <w:rPr>
          <w:rFonts w:ascii="Times New Roman" w:hAnsi="Times New Roman"/>
          <w:sz w:val="24"/>
          <w:szCs w:val="24"/>
          <w:lang w:eastAsia="uk-UA"/>
        </w:rPr>
        <w:t xml:space="preserve">втрати ділової репутації (репутаційний ризик) </w:t>
      </w:r>
      <w:r w:rsidR="00F55F65" w:rsidRPr="005D1193">
        <w:rPr>
          <w:rFonts w:ascii="Times New Roman" w:hAnsi="Times New Roman"/>
          <w:sz w:val="24"/>
          <w:szCs w:val="24"/>
          <w:lang w:eastAsia="uk-UA"/>
        </w:rPr>
        <w:t>та стратегічний ризик</w:t>
      </w:r>
      <w:r w:rsidR="00A84552" w:rsidRPr="005D1193">
        <w:rPr>
          <w:rFonts w:ascii="Times New Roman" w:hAnsi="Times New Roman"/>
          <w:sz w:val="24"/>
          <w:szCs w:val="24"/>
          <w:lang w:eastAsia="uk-UA"/>
        </w:rPr>
        <w:t>.</w:t>
      </w:r>
    </w:p>
    <w:p w14:paraId="635733C5" w14:textId="0E7A84BB" w:rsidR="00175081" w:rsidRPr="005D1193" w:rsidRDefault="00F55F65" w:rsidP="000A39DA">
      <w:pPr>
        <w:pStyle w:val="a5"/>
        <w:tabs>
          <w:tab w:val="left" w:pos="0"/>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hAnsi="Times New Roman"/>
          <w:sz w:val="24"/>
          <w:szCs w:val="24"/>
          <w:lang w:eastAsia="uk-UA"/>
        </w:rPr>
        <w:t xml:space="preserve"> </w:t>
      </w:r>
      <w:r w:rsidR="00175081" w:rsidRPr="005D1193">
        <w:rPr>
          <w:rFonts w:ascii="Times New Roman" w:eastAsia="TimesNewRoman" w:hAnsi="Times New Roman"/>
          <w:sz w:val="24"/>
          <w:szCs w:val="24"/>
          <w:lang w:eastAsia="ru-RU"/>
        </w:rPr>
        <w:t>Операцій</w:t>
      </w:r>
      <w:r w:rsidRPr="005D1193">
        <w:rPr>
          <w:rFonts w:ascii="Times New Roman" w:eastAsia="TimesNewRoman" w:hAnsi="Times New Roman"/>
          <w:sz w:val="24"/>
          <w:szCs w:val="24"/>
          <w:lang w:eastAsia="ru-RU"/>
        </w:rPr>
        <w:t xml:space="preserve">ний ризик </w:t>
      </w:r>
      <w:r w:rsidR="00175081" w:rsidRPr="005D1193">
        <w:rPr>
          <w:rFonts w:ascii="Times New Roman" w:eastAsia="TimesNewRoman" w:hAnsi="Times New Roman"/>
          <w:sz w:val="24"/>
          <w:szCs w:val="24"/>
          <w:lang w:eastAsia="ru-RU"/>
        </w:rPr>
        <w:t>може виникнути у Розрахункового центру через: (1) дії персоналу, пов</w:t>
      </w:r>
      <w:r w:rsidR="005F41FA" w:rsidRPr="005D1193">
        <w:rPr>
          <w:rFonts w:ascii="Times New Roman" w:eastAsia="TimesNewRoman" w:hAnsi="Times New Roman"/>
          <w:sz w:val="24"/>
          <w:szCs w:val="24"/>
          <w:lang w:eastAsia="ru-RU"/>
        </w:rPr>
        <w:t>’</w:t>
      </w:r>
      <w:r w:rsidR="00175081" w:rsidRPr="005D1193">
        <w:rPr>
          <w:rFonts w:ascii="Times New Roman" w:eastAsia="TimesNewRoman" w:hAnsi="Times New Roman"/>
          <w:sz w:val="24"/>
          <w:szCs w:val="24"/>
          <w:lang w:eastAsia="ru-RU"/>
        </w:rPr>
        <w:t xml:space="preserve">язані з операційними помилками, недостатньої кваліфікацією, порушеннями положень внутрішніх документів Розрахункового центру або здійсненням персоналом несанкціонованих та протиправних дій, недоліками в організації діяльності тощо; (2) недоліки та неадекватність технологічних процесів; (3) помилки або збій у функціонуванні програмно-технічних засобів або через їх невідповідність (недосконалість) покладеним на них задачам; (4) вплив зовнішніх подій, які не можуть бути керованими з боку Розрахункового центру (як-то атаки на сервер, порушення положень внутрішніх документів Розрахункового центру </w:t>
      </w:r>
      <w:r w:rsidR="00A84552" w:rsidRPr="005D1193">
        <w:rPr>
          <w:rFonts w:ascii="Times New Roman" w:eastAsia="TimesNewRoman" w:hAnsi="Times New Roman"/>
          <w:sz w:val="24"/>
          <w:szCs w:val="24"/>
          <w:lang w:eastAsia="ru-RU"/>
        </w:rPr>
        <w:t>працівниками</w:t>
      </w:r>
      <w:r w:rsidR="00175081" w:rsidRPr="005D1193">
        <w:rPr>
          <w:rFonts w:ascii="Times New Roman" w:eastAsia="TimesNewRoman" w:hAnsi="Times New Roman"/>
          <w:sz w:val="24"/>
          <w:szCs w:val="24"/>
          <w:lang w:eastAsia="ru-RU"/>
        </w:rPr>
        <w:t xml:space="preserve"> чи учасниками клірингу, зловживання з боку </w:t>
      </w:r>
      <w:r w:rsidR="00A84552" w:rsidRPr="005D1193">
        <w:rPr>
          <w:rFonts w:ascii="Times New Roman" w:eastAsia="TimesNewRoman" w:hAnsi="Times New Roman"/>
          <w:sz w:val="24"/>
          <w:szCs w:val="24"/>
          <w:lang w:eastAsia="ru-RU"/>
        </w:rPr>
        <w:t>працівників</w:t>
      </w:r>
      <w:r w:rsidR="00175081" w:rsidRPr="005D1193">
        <w:rPr>
          <w:rFonts w:ascii="Times New Roman" w:eastAsia="TimesNewRoman" w:hAnsi="Times New Roman"/>
          <w:sz w:val="24"/>
          <w:szCs w:val="24"/>
          <w:lang w:eastAsia="ru-RU"/>
        </w:rPr>
        <w:t xml:space="preserve"> або учасників клірингу тощо).</w:t>
      </w:r>
    </w:p>
    <w:p w14:paraId="610E2604" w14:textId="10A18C25" w:rsidR="00824902" w:rsidRPr="005D1193" w:rsidRDefault="00F713D9" w:rsidP="000A39DA">
      <w:pPr>
        <w:pStyle w:val="a5"/>
        <w:tabs>
          <w:tab w:val="left" w:pos="0"/>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2.1.</w:t>
      </w:r>
      <w:r w:rsidR="00CB0C9B" w:rsidRPr="005D1193">
        <w:rPr>
          <w:rFonts w:ascii="Times New Roman" w:eastAsia="TimesNewRoman" w:hAnsi="Times New Roman"/>
          <w:sz w:val="24"/>
          <w:szCs w:val="24"/>
          <w:lang w:eastAsia="ru-RU"/>
        </w:rPr>
        <w:t>4</w:t>
      </w:r>
      <w:r w:rsidRPr="005D1193">
        <w:rPr>
          <w:rFonts w:ascii="Times New Roman" w:eastAsia="TimesNewRoman" w:hAnsi="Times New Roman"/>
          <w:sz w:val="24"/>
          <w:szCs w:val="24"/>
          <w:lang w:eastAsia="ru-RU"/>
        </w:rPr>
        <w:t xml:space="preserve">. </w:t>
      </w:r>
      <w:r w:rsidR="00703010" w:rsidRPr="005D1193">
        <w:rPr>
          <w:rFonts w:ascii="Times New Roman" w:eastAsia="TimesNewRoman" w:hAnsi="Times New Roman"/>
          <w:sz w:val="24"/>
          <w:szCs w:val="24"/>
          <w:lang w:eastAsia="ru-RU"/>
        </w:rPr>
        <w:t>Правовий</w:t>
      </w:r>
      <w:r w:rsidR="00824902" w:rsidRPr="005D1193">
        <w:rPr>
          <w:rFonts w:ascii="Times New Roman" w:eastAsia="TimesNewRoman" w:hAnsi="Times New Roman"/>
          <w:sz w:val="24"/>
          <w:szCs w:val="24"/>
          <w:lang w:eastAsia="ru-RU"/>
        </w:rPr>
        <w:t xml:space="preserve"> ризик, що входить до переліку операційних ризиків</w:t>
      </w:r>
      <w:r w:rsidR="009D4FD3" w:rsidRPr="005D1193">
        <w:rPr>
          <w:rFonts w:ascii="Times New Roman" w:eastAsia="TimesNewRoman" w:hAnsi="Times New Roman"/>
          <w:sz w:val="24"/>
          <w:szCs w:val="24"/>
          <w:lang w:eastAsia="ru-RU"/>
        </w:rPr>
        <w:t>,</w:t>
      </w:r>
      <w:r w:rsidR="00824902" w:rsidRPr="005D1193">
        <w:rPr>
          <w:rFonts w:ascii="Times New Roman" w:eastAsia="TimesNewRoman" w:hAnsi="Times New Roman"/>
          <w:sz w:val="24"/>
          <w:szCs w:val="24"/>
          <w:lang w:eastAsia="ru-RU"/>
        </w:rPr>
        <w:t xml:space="preserve"> – це наявний або потенційний ризик, який може виникнути у Розрахункового центру через порушення або недотримання Розрахунковим центром вимог законів, підзаконних нормативно-правових актів, укладених договорів, а також через можливість двозначного тлумачення норм законів, підзаконних нормативно-правових актів або внутрішніх документів Розрахункового центру. </w:t>
      </w:r>
    </w:p>
    <w:p w14:paraId="76D552BF" w14:textId="52D81D3F" w:rsidR="00175081" w:rsidRPr="005D1193" w:rsidRDefault="00E50778" w:rsidP="000A39DA">
      <w:pPr>
        <w:tabs>
          <w:tab w:val="left" w:pos="709"/>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2</w:t>
      </w:r>
      <w:r w:rsidR="00175081" w:rsidRPr="005D1193">
        <w:rPr>
          <w:rFonts w:ascii="Times New Roman" w:eastAsia="TimesNewRoman" w:hAnsi="Times New Roman"/>
          <w:sz w:val="24"/>
          <w:szCs w:val="24"/>
          <w:lang w:eastAsia="ru-RU"/>
        </w:rPr>
        <w:t>.1.5. Системний ризик – ризик того, що неспроможність одного учасника клірингу або Розрахункового центру виконати свої зобов</w:t>
      </w:r>
      <w:r w:rsidR="005F41FA" w:rsidRPr="005D1193">
        <w:rPr>
          <w:rFonts w:ascii="Times New Roman" w:eastAsia="TimesNewRoman" w:hAnsi="Times New Roman"/>
          <w:sz w:val="24"/>
          <w:szCs w:val="24"/>
          <w:lang w:eastAsia="ru-RU"/>
        </w:rPr>
        <w:t>’</w:t>
      </w:r>
      <w:r w:rsidR="00175081" w:rsidRPr="005D1193">
        <w:rPr>
          <w:rFonts w:ascii="Times New Roman" w:eastAsia="TimesNewRoman" w:hAnsi="Times New Roman"/>
          <w:sz w:val="24"/>
          <w:szCs w:val="24"/>
          <w:lang w:eastAsia="ru-RU"/>
        </w:rPr>
        <w:t>язання своєчасно та в повному обсязі може призвести до нездатності виконання зобов</w:t>
      </w:r>
      <w:r w:rsidR="005F41FA" w:rsidRPr="005D1193">
        <w:rPr>
          <w:rFonts w:ascii="Times New Roman" w:eastAsia="TimesNewRoman" w:hAnsi="Times New Roman"/>
          <w:sz w:val="24"/>
          <w:szCs w:val="24"/>
          <w:lang w:eastAsia="ru-RU"/>
        </w:rPr>
        <w:t>’</w:t>
      </w:r>
      <w:r w:rsidR="00175081" w:rsidRPr="005D1193">
        <w:rPr>
          <w:rFonts w:ascii="Times New Roman" w:eastAsia="TimesNewRoman" w:hAnsi="Times New Roman"/>
          <w:sz w:val="24"/>
          <w:szCs w:val="24"/>
          <w:lang w:eastAsia="ru-RU"/>
        </w:rPr>
        <w:t>язань більшістю або всіма учасниками клірингу.</w:t>
      </w:r>
      <w:r w:rsidR="00D61591" w:rsidRPr="005D1193">
        <w:rPr>
          <w:rFonts w:ascii="Times New Roman" w:eastAsia="TimesNewRoman" w:hAnsi="Times New Roman"/>
          <w:sz w:val="24"/>
          <w:szCs w:val="24"/>
          <w:lang w:eastAsia="ru-RU"/>
        </w:rPr>
        <w:t xml:space="preserve"> Оцінка та стрес-тестування системного ризику </w:t>
      </w:r>
      <w:r w:rsidR="000F47E6" w:rsidRPr="005D1193">
        <w:rPr>
          <w:rFonts w:ascii="Times New Roman" w:eastAsia="TimesNewRoman" w:hAnsi="Times New Roman"/>
          <w:sz w:val="24"/>
          <w:szCs w:val="24"/>
          <w:lang w:eastAsia="ru-RU"/>
        </w:rPr>
        <w:t>проводиться</w:t>
      </w:r>
      <w:r w:rsidR="00D61591" w:rsidRPr="005D1193">
        <w:rPr>
          <w:rFonts w:ascii="Times New Roman" w:eastAsia="TimesNewRoman" w:hAnsi="Times New Roman"/>
          <w:sz w:val="24"/>
          <w:szCs w:val="24"/>
          <w:lang w:eastAsia="ru-RU"/>
        </w:rPr>
        <w:t xml:space="preserve"> в контексті оцінки та стрес-тестування ризику ліквідності, зокрема, щодо </w:t>
      </w:r>
      <w:r w:rsidR="00252109" w:rsidRPr="005D1193">
        <w:rPr>
          <w:rFonts w:ascii="Times New Roman" w:eastAsia="TimesNewRoman" w:hAnsi="Times New Roman"/>
          <w:sz w:val="24"/>
          <w:szCs w:val="24"/>
          <w:lang w:eastAsia="ru-RU"/>
        </w:rPr>
        <w:t>аналізу індикаторів раннього виявлення кризи ліквідності, який здійснюється не рідше одного разу на місяць.</w:t>
      </w:r>
    </w:p>
    <w:p w14:paraId="70D46DC8" w14:textId="1CF6F4BD" w:rsidR="00175081" w:rsidRPr="005D1193" w:rsidRDefault="00E50778" w:rsidP="000A39DA">
      <w:pPr>
        <w:pStyle w:val="a5"/>
        <w:tabs>
          <w:tab w:val="left" w:pos="0"/>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2</w:t>
      </w:r>
      <w:r w:rsidR="00175081" w:rsidRPr="005D1193">
        <w:rPr>
          <w:rFonts w:ascii="Times New Roman" w:eastAsia="TimesNewRoman" w:hAnsi="Times New Roman"/>
          <w:sz w:val="24"/>
          <w:szCs w:val="24"/>
          <w:lang w:eastAsia="ru-RU"/>
        </w:rPr>
        <w:t>.1.</w:t>
      </w:r>
      <w:r w:rsidR="00F713D9" w:rsidRPr="005D1193">
        <w:rPr>
          <w:rFonts w:ascii="Times New Roman" w:eastAsia="TimesNewRoman" w:hAnsi="Times New Roman"/>
          <w:sz w:val="24"/>
          <w:szCs w:val="24"/>
          <w:lang w:eastAsia="ru-RU"/>
        </w:rPr>
        <w:t>6</w:t>
      </w:r>
      <w:r w:rsidR="00175081" w:rsidRPr="005D1193">
        <w:rPr>
          <w:rFonts w:ascii="Times New Roman" w:eastAsia="TimesNewRoman" w:hAnsi="Times New Roman"/>
          <w:sz w:val="24"/>
          <w:szCs w:val="24"/>
          <w:lang w:eastAsia="ru-RU"/>
        </w:rPr>
        <w:t xml:space="preserve">. </w:t>
      </w:r>
      <w:r w:rsidR="00D33D3A" w:rsidRPr="005D1193">
        <w:rPr>
          <w:rFonts w:ascii="Times New Roman" w:eastAsia="TimesNewRoman" w:hAnsi="Times New Roman"/>
          <w:sz w:val="24"/>
          <w:szCs w:val="24"/>
          <w:lang w:eastAsia="ru-RU"/>
        </w:rPr>
        <w:t>Ризик втрати ділової репутації (р</w:t>
      </w:r>
      <w:r w:rsidR="00AC735C" w:rsidRPr="005D1193">
        <w:rPr>
          <w:rFonts w:ascii="Times New Roman" w:eastAsia="TimesNewRoman" w:hAnsi="Times New Roman"/>
          <w:sz w:val="24"/>
          <w:szCs w:val="24"/>
          <w:lang w:eastAsia="ru-RU"/>
        </w:rPr>
        <w:t>епутаційни</w:t>
      </w:r>
      <w:r w:rsidR="00F713D9" w:rsidRPr="005D1193">
        <w:rPr>
          <w:rFonts w:ascii="Times New Roman" w:eastAsia="TimesNewRoman" w:hAnsi="Times New Roman"/>
          <w:sz w:val="24"/>
          <w:szCs w:val="24"/>
          <w:lang w:eastAsia="ru-RU"/>
        </w:rPr>
        <w:t>й</w:t>
      </w:r>
      <w:r w:rsidR="00AC735C" w:rsidRPr="005D1193">
        <w:rPr>
          <w:rFonts w:ascii="Times New Roman" w:eastAsia="TimesNewRoman" w:hAnsi="Times New Roman"/>
          <w:sz w:val="24"/>
          <w:szCs w:val="24"/>
          <w:lang w:eastAsia="ru-RU"/>
        </w:rPr>
        <w:t xml:space="preserve"> ризик</w:t>
      </w:r>
      <w:r w:rsidR="00D33D3A" w:rsidRPr="005D1193">
        <w:rPr>
          <w:rFonts w:ascii="Times New Roman" w:eastAsia="TimesNewRoman" w:hAnsi="Times New Roman"/>
          <w:sz w:val="24"/>
          <w:szCs w:val="24"/>
          <w:lang w:eastAsia="ru-RU"/>
        </w:rPr>
        <w:t>)</w:t>
      </w:r>
      <w:r w:rsidR="00FC7800" w:rsidRPr="005D1193">
        <w:rPr>
          <w:rFonts w:ascii="Times New Roman" w:eastAsia="TimesNewRoman" w:hAnsi="Times New Roman"/>
          <w:sz w:val="24"/>
          <w:szCs w:val="24"/>
          <w:lang w:eastAsia="ru-RU"/>
        </w:rPr>
        <w:t xml:space="preserve"> </w:t>
      </w:r>
      <w:r w:rsidR="00B72CD0" w:rsidRPr="005D1193">
        <w:rPr>
          <w:rFonts w:ascii="Times New Roman" w:eastAsia="TimesNewRoman" w:hAnsi="Times New Roman"/>
          <w:sz w:val="24"/>
          <w:szCs w:val="24"/>
          <w:lang w:eastAsia="ru-RU"/>
        </w:rPr>
        <w:t>–</w:t>
      </w:r>
      <w:r w:rsidR="00D33D3A" w:rsidRPr="005D1193">
        <w:rPr>
          <w:rFonts w:ascii="Times New Roman" w:eastAsia="TimesNewRoman" w:hAnsi="Times New Roman"/>
          <w:sz w:val="24"/>
          <w:szCs w:val="24"/>
          <w:lang w:eastAsia="ru-RU"/>
        </w:rPr>
        <w:t xml:space="preserve"> </w:t>
      </w:r>
      <w:r w:rsidR="00175081" w:rsidRPr="005D1193">
        <w:rPr>
          <w:rFonts w:ascii="Times New Roman" w:eastAsia="TimesNewRoman" w:hAnsi="Times New Roman"/>
          <w:sz w:val="24"/>
          <w:szCs w:val="24"/>
          <w:lang w:eastAsia="ru-RU"/>
        </w:rPr>
        <w:t>ризик</w:t>
      </w:r>
      <w:r w:rsidR="00D33D3A" w:rsidRPr="005D1193">
        <w:rPr>
          <w:rFonts w:ascii="Times New Roman" w:eastAsia="TimesNewRoman" w:hAnsi="Times New Roman"/>
          <w:sz w:val="24"/>
          <w:szCs w:val="24"/>
          <w:lang w:eastAsia="ru-RU"/>
        </w:rPr>
        <w:t xml:space="preserve"> виникнення збитків</w:t>
      </w:r>
      <w:r w:rsidR="00175081" w:rsidRPr="005D1193">
        <w:rPr>
          <w:rFonts w:ascii="Times New Roman" w:eastAsia="TimesNewRoman" w:hAnsi="Times New Roman"/>
          <w:sz w:val="24"/>
          <w:szCs w:val="24"/>
          <w:lang w:eastAsia="ru-RU"/>
        </w:rPr>
        <w:t xml:space="preserve">, який може виникнути через несприятливе сприйняття іміджу Розрахункового центру клієнтами та іншими учасниками фінансового ринку, контрагентами, партнерами, акціонерами або органами нагляду. </w:t>
      </w:r>
    </w:p>
    <w:p w14:paraId="18A2F942" w14:textId="6EEF6FB6" w:rsidR="0075696F" w:rsidRPr="005D1193" w:rsidRDefault="00B72CD0" w:rsidP="000A39DA">
      <w:pPr>
        <w:pStyle w:val="a5"/>
        <w:tabs>
          <w:tab w:val="left" w:pos="0"/>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 xml:space="preserve">Ризик втрати ділової репутації (репутаційний ризик) </w:t>
      </w:r>
      <w:r w:rsidR="00175081" w:rsidRPr="005D1193">
        <w:rPr>
          <w:rFonts w:ascii="Times New Roman" w:eastAsia="TimesNewRoman" w:hAnsi="Times New Roman"/>
          <w:sz w:val="24"/>
          <w:szCs w:val="24"/>
          <w:lang w:eastAsia="ru-RU"/>
        </w:rPr>
        <w:t>впливає на спроможність Розрахункового центру надавати нові послуги, встановлювати нові відносини або підтримувати існуючі</w:t>
      </w:r>
      <w:r w:rsidR="00D33D3A" w:rsidRPr="005D1193">
        <w:rPr>
          <w:rFonts w:ascii="Times New Roman" w:eastAsia="TimesNewRoman" w:hAnsi="Times New Roman"/>
          <w:sz w:val="24"/>
          <w:szCs w:val="24"/>
          <w:lang w:eastAsia="ru-RU"/>
        </w:rPr>
        <w:t xml:space="preserve"> та може бути наслідком реалізації інших ризиків</w:t>
      </w:r>
      <w:r w:rsidR="00175081" w:rsidRPr="005D1193">
        <w:rPr>
          <w:rFonts w:ascii="Times New Roman" w:eastAsia="TimesNewRoman" w:hAnsi="Times New Roman"/>
          <w:sz w:val="24"/>
          <w:szCs w:val="24"/>
          <w:lang w:eastAsia="ru-RU"/>
        </w:rPr>
        <w:t>.</w:t>
      </w:r>
    </w:p>
    <w:p w14:paraId="3F4118AA" w14:textId="250EE702" w:rsidR="00175081" w:rsidRPr="005D1193" w:rsidRDefault="00E50778" w:rsidP="000A39DA">
      <w:pPr>
        <w:pStyle w:val="a5"/>
        <w:tabs>
          <w:tab w:val="left" w:pos="0"/>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2</w:t>
      </w:r>
      <w:r w:rsidR="00175081" w:rsidRPr="005D1193">
        <w:rPr>
          <w:rFonts w:ascii="Times New Roman" w:eastAsia="TimesNewRoman" w:hAnsi="Times New Roman"/>
          <w:sz w:val="24"/>
          <w:szCs w:val="24"/>
          <w:lang w:eastAsia="ru-RU"/>
        </w:rPr>
        <w:t>.1.</w:t>
      </w:r>
      <w:r w:rsidR="00CB0C9B" w:rsidRPr="005D1193">
        <w:rPr>
          <w:rFonts w:ascii="Times New Roman" w:eastAsia="TimesNewRoman" w:hAnsi="Times New Roman"/>
          <w:sz w:val="24"/>
          <w:szCs w:val="24"/>
          <w:lang w:eastAsia="ru-RU"/>
        </w:rPr>
        <w:t>7</w:t>
      </w:r>
      <w:r w:rsidR="00175081" w:rsidRPr="005D1193">
        <w:rPr>
          <w:rFonts w:ascii="Times New Roman" w:eastAsia="TimesNewRoman" w:hAnsi="Times New Roman"/>
          <w:sz w:val="24"/>
          <w:szCs w:val="24"/>
          <w:lang w:eastAsia="ru-RU"/>
        </w:rPr>
        <w:t xml:space="preserve">. Загальний фінансовий ризик (ризик банкрутства) – ризик неможливості продовження діяльності Розрахункового центру, який може виникнути при погіршенні фінансового стану Розрахункового центру, якості його активів, структури капіталу, при виникненні збитків від його діяльності внаслідок </w:t>
      </w:r>
      <w:r w:rsidR="00352C9F" w:rsidRPr="005D1193">
        <w:rPr>
          <w:rFonts w:ascii="Times New Roman" w:eastAsia="TimesNewRoman" w:hAnsi="Times New Roman"/>
          <w:sz w:val="24"/>
          <w:szCs w:val="24"/>
          <w:lang w:eastAsia="ru-RU"/>
        </w:rPr>
        <w:t>перевищення витрат над доходами.</w:t>
      </w:r>
    </w:p>
    <w:p w14:paraId="3F5C1ABC" w14:textId="47E6D539" w:rsidR="00175081" w:rsidRPr="005D1193" w:rsidRDefault="00E50778" w:rsidP="000A39DA">
      <w:pPr>
        <w:pStyle w:val="a5"/>
        <w:tabs>
          <w:tab w:val="left" w:pos="993"/>
        </w:tabs>
        <w:spacing w:after="120" w:line="240" w:lineRule="auto"/>
        <w:ind w:left="0"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2</w:t>
      </w:r>
      <w:r w:rsidR="00175081" w:rsidRPr="005D1193">
        <w:rPr>
          <w:rFonts w:ascii="Times New Roman" w:eastAsia="TimesNewRoman" w:hAnsi="Times New Roman"/>
          <w:sz w:val="24"/>
          <w:szCs w:val="24"/>
          <w:lang w:eastAsia="ru-RU"/>
        </w:rPr>
        <w:t>.1.</w:t>
      </w:r>
      <w:r w:rsidR="0075696F" w:rsidRPr="005D1193">
        <w:rPr>
          <w:rFonts w:ascii="Times New Roman" w:eastAsia="TimesNewRoman" w:hAnsi="Times New Roman"/>
          <w:sz w:val="24"/>
          <w:szCs w:val="24"/>
          <w:lang w:eastAsia="ru-RU"/>
        </w:rPr>
        <w:t>8</w:t>
      </w:r>
      <w:r w:rsidR="00175081" w:rsidRPr="005D1193">
        <w:rPr>
          <w:rFonts w:ascii="Times New Roman" w:eastAsia="TimesNewRoman" w:hAnsi="Times New Roman"/>
          <w:sz w:val="24"/>
          <w:szCs w:val="24"/>
          <w:lang w:eastAsia="ru-RU"/>
        </w:rPr>
        <w:t xml:space="preserve">. Стратегічний ризик – </w:t>
      </w:r>
      <w:r w:rsidR="004C33F5" w:rsidRPr="005D1193">
        <w:rPr>
          <w:rFonts w:ascii="Times New Roman" w:eastAsia="TimesNewRoman" w:hAnsi="Times New Roman"/>
          <w:sz w:val="24"/>
          <w:szCs w:val="24"/>
          <w:lang w:eastAsia="ru-RU"/>
        </w:rPr>
        <w:t xml:space="preserve">ризик виникнення збитків, </w:t>
      </w:r>
      <w:r w:rsidR="00175081" w:rsidRPr="005D1193">
        <w:rPr>
          <w:rFonts w:ascii="Times New Roman" w:eastAsia="TimesNewRoman" w:hAnsi="Times New Roman"/>
          <w:sz w:val="24"/>
          <w:szCs w:val="24"/>
          <w:lang w:eastAsia="ru-RU"/>
        </w:rPr>
        <w:t>як</w:t>
      </w:r>
      <w:r w:rsidR="004C33F5" w:rsidRPr="005D1193">
        <w:rPr>
          <w:rFonts w:ascii="Times New Roman" w:eastAsia="TimesNewRoman" w:hAnsi="Times New Roman"/>
          <w:sz w:val="24"/>
          <w:szCs w:val="24"/>
          <w:lang w:eastAsia="ru-RU"/>
        </w:rPr>
        <w:t>і пов</w:t>
      </w:r>
      <w:r w:rsidR="005F41FA" w:rsidRPr="005D1193">
        <w:rPr>
          <w:rFonts w:ascii="Times New Roman" w:eastAsia="TimesNewRoman" w:hAnsi="Times New Roman"/>
          <w:sz w:val="24"/>
          <w:szCs w:val="24"/>
          <w:lang w:eastAsia="ru-RU"/>
        </w:rPr>
        <w:t>’</w:t>
      </w:r>
      <w:r w:rsidR="004C33F5" w:rsidRPr="005D1193">
        <w:rPr>
          <w:rFonts w:ascii="Times New Roman" w:eastAsia="TimesNewRoman" w:hAnsi="Times New Roman"/>
          <w:sz w:val="24"/>
          <w:szCs w:val="24"/>
          <w:lang w:eastAsia="ru-RU"/>
        </w:rPr>
        <w:t xml:space="preserve">язані </w:t>
      </w:r>
      <w:r w:rsidR="00175081" w:rsidRPr="005D1193">
        <w:rPr>
          <w:rFonts w:ascii="Times New Roman" w:eastAsia="TimesNewRoman" w:hAnsi="Times New Roman"/>
          <w:sz w:val="24"/>
          <w:szCs w:val="24"/>
          <w:lang w:eastAsia="ru-RU"/>
        </w:rPr>
        <w:t xml:space="preserve"> </w:t>
      </w:r>
      <w:r w:rsidR="004C33F5" w:rsidRPr="005D1193">
        <w:rPr>
          <w:rFonts w:ascii="Times New Roman" w:eastAsia="TimesNewRoman" w:hAnsi="Times New Roman"/>
          <w:sz w:val="24"/>
          <w:szCs w:val="24"/>
          <w:lang w:eastAsia="ru-RU"/>
        </w:rPr>
        <w:t xml:space="preserve">з прийняттям неефективних управлінських </w:t>
      </w:r>
      <w:r w:rsidR="00175081" w:rsidRPr="005D1193">
        <w:rPr>
          <w:rFonts w:ascii="Times New Roman" w:eastAsia="TimesNewRoman" w:hAnsi="Times New Roman"/>
          <w:sz w:val="24"/>
          <w:szCs w:val="24"/>
          <w:lang w:eastAsia="ru-RU"/>
        </w:rPr>
        <w:t>рішен</w:t>
      </w:r>
      <w:r w:rsidR="004C33F5" w:rsidRPr="005D1193">
        <w:rPr>
          <w:rFonts w:ascii="Times New Roman" w:eastAsia="TimesNewRoman" w:hAnsi="Times New Roman"/>
          <w:sz w:val="24"/>
          <w:szCs w:val="24"/>
          <w:lang w:eastAsia="ru-RU"/>
        </w:rPr>
        <w:t>ь</w:t>
      </w:r>
      <w:r w:rsidR="00175081" w:rsidRPr="005D1193">
        <w:rPr>
          <w:rFonts w:ascii="Times New Roman" w:eastAsia="TimesNewRoman" w:hAnsi="Times New Roman"/>
          <w:sz w:val="24"/>
          <w:szCs w:val="24"/>
          <w:lang w:eastAsia="ru-RU"/>
        </w:rPr>
        <w:t xml:space="preserve">, </w:t>
      </w:r>
      <w:r w:rsidR="004C33F5" w:rsidRPr="005D1193">
        <w:rPr>
          <w:rFonts w:ascii="Times New Roman" w:eastAsia="TimesNewRoman" w:hAnsi="Times New Roman"/>
          <w:sz w:val="24"/>
          <w:szCs w:val="24"/>
          <w:lang w:eastAsia="ru-RU"/>
        </w:rPr>
        <w:t xml:space="preserve">помилками, які були допущені під час їх прийняття, а також з неналежною реалізацією рішень, що визначають стратегію діяльності та розвитку Розрахункового центру. </w:t>
      </w:r>
      <w:r w:rsidR="00175081" w:rsidRPr="005D1193">
        <w:rPr>
          <w:rFonts w:ascii="Times New Roman" w:eastAsia="TimesNewRoman" w:hAnsi="Times New Roman"/>
          <w:sz w:val="24"/>
          <w:szCs w:val="24"/>
          <w:lang w:eastAsia="ru-RU"/>
        </w:rPr>
        <w:t xml:space="preserve"> </w:t>
      </w:r>
    </w:p>
    <w:p w14:paraId="4B7A6421" w14:textId="77777777" w:rsidR="00877A5F" w:rsidRPr="005D1193" w:rsidRDefault="00175081" w:rsidP="00A518E6">
      <w:pPr>
        <w:pStyle w:val="a5"/>
        <w:tabs>
          <w:tab w:val="left" w:pos="0"/>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Цей ризик виникає внаслідок несумісності стратегічних цілей Розрахункового центру, бізнес-стратегій, розроблених для досягнення цих цілей, ресурсів, задіяних для досягнення цих цілей, та якості їх реалізації.</w:t>
      </w:r>
    </w:p>
    <w:p w14:paraId="31602AEB" w14:textId="702EA082" w:rsidR="00942482" w:rsidRPr="005D1193" w:rsidRDefault="00942482" w:rsidP="00A518E6">
      <w:pPr>
        <w:pStyle w:val="a5"/>
        <w:tabs>
          <w:tab w:val="left" w:pos="0"/>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2.1.</w:t>
      </w:r>
      <w:r w:rsidR="0075696F" w:rsidRPr="005D1193">
        <w:rPr>
          <w:rFonts w:ascii="Times New Roman" w:eastAsia="TimesNewRoman" w:hAnsi="Times New Roman"/>
          <w:sz w:val="24"/>
          <w:szCs w:val="24"/>
          <w:lang w:eastAsia="ru-RU"/>
        </w:rPr>
        <w:t>9</w:t>
      </w:r>
      <w:r w:rsidRPr="005D1193">
        <w:rPr>
          <w:rFonts w:ascii="Times New Roman" w:eastAsia="TimesNewRoman" w:hAnsi="Times New Roman"/>
          <w:sz w:val="24"/>
          <w:szCs w:val="24"/>
          <w:lang w:eastAsia="ru-RU"/>
        </w:rPr>
        <w:t>. Кредитний ризик –</w:t>
      </w:r>
      <w:r w:rsidR="00F75C95" w:rsidRPr="005D1193">
        <w:rPr>
          <w:rFonts w:ascii="Times New Roman" w:eastAsia="TimesNewRoman" w:hAnsi="Times New Roman"/>
          <w:sz w:val="24"/>
          <w:szCs w:val="24"/>
          <w:lang w:eastAsia="ru-RU"/>
        </w:rPr>
        <w:t xml:space="preserve"> імовірність виникнення збитків або додаткових втрат або недоотримання запланованих доходів унаслідок невиконання боржником</w:t>
      </w:r>
      <w:r w:rsidR="00BC656F" w:rsidRPr="005D1193">
        <w:rPr>
          <w:rFonts w:ascii="Times New Roman" w:eastAsia="TimesNewRoman" w:hAnsi="Times New Roman"/>
          <w:sz w:val="24"/>
          <w:szCs w:val="24"/>
          <w:lang w:eastAsia="ru-RU"/>
        </w:rPr>
        <w:t xml:space="preserve"> </w:t>
      </w:r>
      <w:r w:rsidR="00F75C95" w:rsidRPr="005D1193">
        <w:rPr>
          <w:rFonts w:ascii="Times New Roman" w:eastAsia="TimesNewRoman" w:hAnsi="Times New Roman"/>
          <w:sz w:val="24"/>
          <w:szCs w:val="24"/>
          <w:lang w:eastAsia="ru-RU"/>
        </w:rPr>
        <w:t>/</w:t>
      </w:r>
      <w:r w:rsidR="00BC656F" w:rsidRPr="005D1193">
        <w:rPr>
          <w:rFonts w:ascii="Times New Roman" w:eastAsia="TimesNewRoman" w:hAnsi="Times New Roman"/>
          <w:sz w:val="24"/>
          <w:szCs w:val="24"/>
          <w:lang w:eastAsia="ru-RU"/>
        </w:rPr>
        <w:t xml:space="preserve"> </w:t>
      </w:r>
      <w:r w:rsidR="00F75C95" w:rsidRPr="005D1193">
        <w:rPr>
          <w:rFonts w:ascii="Times New Roman" w:eastAsia="TimesNewRoman" w:hAnsi="Times New Roman"/>
          <w:sz w:val="24"/>
          <w:szCs w:val="24"/>
          <w:lang w:eastAsia="ru-RU"/>
        </w:rPr>
        <w:t>контрагентом узятих на себе зобов</w:t>
      </w:r>
      <w:r w:rsidR="005F41FA" w:rsidRPr="005D1193">
        <w:rPr>
          <w:rFonts w:ascii="Times New Roman" w:eastAsia="TimesNewRoman" w:hAnsi="Times New Roman"/>
          <w:sz w:val="24"/>
          <w:szCs w:val="24"/>
          <w:lang w:eastAsia="ru-RU"/>
        </w:rPr>
        <w:t>’</w:t>
      </w:r>
      <w:r w:rsidR="00F75C95" w:rsidRPr="005D1193">
        <w:rPr>
          <w:rFonts w:ascii="Times New Roman" w:eastAsia="TimesNewRoman" w:hAnsi="Times New Roman"/>
          <w:sz w:val="24"/>
          <w:szCs w:val="24"/>
          <w:lang w:eastAsia="ru-RU"/>
        </w:rPr>
        <w:t>язань відповідно до умов договору</w:t>
      </w:r>
      <w:r w:rsidRPr="005D1193">
        <w:rPr>
          <w:rFonts w:ascii="Times New Roman" w:eastAsia="TimesNewRoman" w:hAnsi="Times New Roman"/>
          <w:sz w:val="24"/>
          <w:szCs w:val="24"/>
          <w:lang w:eastAsia="ru-RU"/>
        </w:rPr>
        <w:t>.</w:t>
      </w:r>
    </w:p>
    <w:p w14:paraId="515B468C" w14:textId="0F5CF25E" w:rsidR="00942482" w:rsidRPr="005D1193" w:rsidRDefault="00942482"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 xml:space="preserve">Розрахунковий центр </w:t>
      </w:r>
      <w:r w:rsidR="00057B5D" w:rsidRPr="005D1193">
        <w:rPr>
          <w:rFonts w:ascii="Times New Roman" w:eastAsia="TimesNewRoman" w:hAnsi="Times New Roman"/>
          <w:sz w:val="24"/>
          <w:szCs w:val="24"/>
          <w:lang w:eastAsia="ru-RU"/>
        </w:rPr>
        <w:t xml:space="preserve">може </w:t>
      </w:r>
      <w:r w:rsidRPr="005D1193">
        <w:rPr>
          <w:rFonts w:ascii="Times New Roman" w:eastAsia="TimesNewRoman" w:hAnsi="Times New Roman"/>
          <w:sz w:val="24"/>
          <w:szCs w:val="24"/>
          <w:lang w:eastAsia="ru-RU"/>
        </w:rPr>
        <w:t>наражат</w:t>
      </w:r>
      <w:r w:rsidR="00057B5D" w:rsidRPr="005D1193">
        <w:rPr>
          <w:rFonts w:ascii="Times New Roman" w:eastAsia="TimesNewRoman" w:hAnsi="Times New Roman"/>
          <w:sz w:val="24"/>
          <w:szCs w:val="24"/>
          <w:lang w:eastAsia="ru-RU"/>
        </w:rPr>
        <w:t>ись</w:t>
      </w:r>
      <w:r w:rsidRPr="005D1193">
        <w:rPr>
          <w:rFonts w:ascii="Times New Roman" w:eastAsia="TimesNewRoman" w:hAnsi="Times New Roman"/>
          <w:sz w:val="24"/>
          <w:szCs w:val="24"/>
          <w:lang w:eastAsia="ru-RU"/>
        </w:rPr>
        <w:t xml:space="preserve"> на кредитний ризик в разі невиконання (неналежного виконання) учасником клірингу своїх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язань щодо оплати цінних паперів чи їх поставки. </w:t>
      </w:r>
      <w:r w:rsidR="003012A5" w:rsidRPr="005D1193">
        <w:rPr>
          <w:rFonts w:ascii="Times New Roman" w:eastAsia="TimesNewRoman" w:hAnsi="Times New Roman"/>
          <w:sz w:val="24"/>
          <w:szCs w:val="24"/>
          <w:lang w:eastAsia="ru-RU"/>
        </w:rPr>
        <w:t xml:space="preserve">Наразі, цей ризик повністю мінімізований за рахунок вимоги </w:t>
      </w:r>
      <w:r w:rsidR="00F75C95" w:rsidRPr="005D1193">
        <w:rPr>
          <w:rFonts w:ascii="Times New Roman" w:eastAsia="TimesNewRoman" w:hAnsi="Times New Roman"/>
          <w:sz w:val="24"/>
          <w:szCs w:val="24"/>
          <w:lang w:eastAsia="ru-RU"/>
        </w:rPr>
        <w:t xml:space="preserve">Розрахункового центру </w:t>
      </w:r>
      <w:r w:rsidR="003012A5" w:rsidRPr="005D1193">
        <w:rPr>
          <w:rFonts w:ascii="Times New Roman" w:eastAsia="TimesNewRoman" w:hAnsi="Times New Roman"/>
          <w:sz w:val="24"/>
          <w:szCs w:val="24"/>
          <w:lang w:eastAsia="ru-RU"/>
        </w:rPr>
        <w:t xml:space="preserve">щодо </w:t>
      </w:r>
      <w:r w:rsidR="00057B5D" w:rsidRPr="005D1193">
        <w:rPr>
          <w:rFonts w:ascii="Times New Roman" w:eastAsia="TimesNewRoman" w:hAnsi="Times New Roman"/>
          <w:sz w:val="24"/>
          <w:szCs w:val="24"/>
          <w:lang w:eastAsia="ru-RU"/>
        </w:rPr>
        <w:t>обов</w:t>
      </w:r>
      <w:r w:rsidR="005F41FA" w:rsidRPr="005D1193">
        <w:rPr>
          <w:rFonts w:ascii="Times New Roman" w:eastAsia="TimesNewRoman" w:hAnsi="Times New Roman"/>
          <w:sz w:val="24"/>
          <w:szCs w:val="24"/>
          <w:lang w:eastAsia="ru-RU"/>
        </w:rPr>
        <w:t>’</w:t>
      </w:r>
      <w:r w:rsidR="00057B5D" w:rsidRPr="005D1193">
        <w:rPr>
          <w:rFonts w:ascii="Times New Roman" w:eastAsia="TimesNewRoman" w:hAnsi="Times New Roman"/>
          <w:sz w:val="24"/>
          <w:szCs w:val="24"/>
          <w:lang w:eastAsia="ru-RU"/>
        </w:rPr>
        <w:t>язкового попереднього депонування та резервування коштів і цінних паперів</w:t>
      </w:r>
      <w:r w:rsidR="003012A5" w:rsidRPr="005D1193">
        <w:rPr>
          <w:rFonts w:ascii="Times New Roman" w:eastAsia="TimesNewRoman" w:hAnsi="Times New Roman"/>
          <w:sz w:val="24"/>
          <w:szCs w:val="24"/>
          <w:lang w:eastAsia="ru-RU"/>
        </w:rPr>
        <w:t xml:space="preserve"> </w:t>
      </w:r>
      <w:r w:rsidR="00D01FF7" w:rsidRPr="005D1193">
        <w:rPr>
          <w:rFonts w:ascii="Times New Roman" w:eastAsia="TimesNewRoman" w:hAnsi="Times New Roman"/>
          <w:sz w:val="24"/>
          <w:szCs w:val="24"/>
          <w:lang w:eastAsia="ru-RU"/>
        </w:rPr>
        <w:t>учасниками клірингу для розрахунків за правочинами</w:t>
      </w:r>
      <w:r w:rsidR="006D7605" w:rsidRPr="005D1193">
        <w:rPr>
          <w:rFonts w:ascii="Times New Roman" w:eastAsia="TimesNewRoman" w:hAnsi="Times New Roman"/>
          <w:sz w:val="24"/>
          <w:szCs w:val="24"/>
          <w:lang w:eastAsia="ru-RU"/>
        </w:rPr>
        <w:t xml:space="preserve"> щодо цінних паперів</w:t>
      </w:r>
      <w:r w:rsidR="00D01FF7" w:rsidRPr="005D1193">
        <w:rPr>
          <w:rFonts w:ascii="Times New Roman" w:eastAsia="TimesNewRoman" w:hAnsi="Times New Roman"/>
          <w:sz w:val="24"/>
          <w:szCs w:val="24"/>
          <w:lang w:eastAsia="ru-RU"/>
        </w:rPr>
        <w:t xml:space="preserve"> або в якості гарантійного забезпечення</w:t>
      </w:r>
      <w:r w:rsidR="003012A5" w:rsidRPr="005D1193">
        <w:rPr>
          <w:rFonts w:ascii="Times New Roman" w:eastAsia="TimesNewRoman" w:hAnsi="Times New Roman"/>
          <w:sz w:val="24"/>
          <w:szCs w:val="24"/>
          <w:lang w:eastAsia="ru-RU"/>
        </w:rPr>
        <w:t xml:space="preserve">. </w:t>
      </w:r>
    </w:p>
    <w:p w14:paraId="35AE4625" w14:textId="09B94F64" w:rsidR="00942482" w:rsidRPr="005D1193" w:rsidRDefault="00FA7057"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З метою управління кредитним ризиком за активними операціями</w:t>
      </w:r>
      <w:r w:rsidR="00DC0B8C" w:rsidRPr="005D1193">
        <w:rPr>
          <w:rFonts w:ascii="Times New Roman" w:eastAsia="TimesNewRoman" w:hAnsi="Times New Roman"/>
          <w:sz w:val="24"/>
          <w:szCs w:val="24"/>
          <w:lang w:eastAsia="ru-RU"/>
        </w:rPr>
        <w:t xml:space="preserve"> </w:t>
      </w:r>
      <w:r w:rsidR="003012A5" w:rsidRPr="005D1193">
        <w:rPr>
          <w:rFonts w:ascii="Times New Roman" w:eastAsia="TimesNewRoman" w:hAnsi="Times New Roman"/>
          <w:sz w:val="24"/>
          <w:szCs w:val="24"/>
          <w:lang w:eastAsia="ru-RU"/>
        </w:rPr>
        <w:t>Розрахунковий центр</w:t>
      </w:r>
      <w:r w:rsidR="00942482" w:rsidRPr="005D1193">
        <w:rPr>
          <w:rFonts w:ascii="Times New Roman" w:eastAsia="TimesNewRoman" w:hAnsi="Times New Roman"/>
          <w:sz w:val="24"/>
          <w:szCs w:val="24"/>
          <w:lang w:eastAsia="ru-RU"/>
        </w:rPr>
        <w:t xml:space="preserve"> </w:t>
      </w:r>
      <w:r w:rsidR="00DC0B8C" w:rsidRPr="005D1193">
        <w:rPr>
          <w:rFonts w:ascii="Times New Roman" w:eastAsia="TimesNewRoman" w:hAnsi="Times New Roman"/>
          <w:sz w:val="24"/>
          <w:szCs w:val="24"/>
          <w:lang w:eastAsia="ru-RU"/>
        </w:rPr>
        <w:t xml:space="preserve">розміщує кошти лише в казначейські та інші цінні папери, що рефінансуються </w:t>
      </w:r>
      <w:r w:rsidR="00F75C95" w:rsidRPr="005D1193">
        <w:rPr>
          <w:rFonts w:ascii="Times New Roman" w:eastAsia="TimesNewRoman" w:hAnsi="Times New Roman"/>
          <w:sz w:val="24"/>
          <w:szCs w:val="24"/>
          <w:lang w:eastAsia="ru-RU"/>
        </w:rPr>
        <w:t xml:space="preserve">Національним банком </w:t>
      </w:r>
      <w:r w:rsidR="00F75C95" w:rsidRPr="005D1193">
        <w:rPr>
          <w:rFonts w:ascii="Times New Roman" w:eastAsia="TimesNewRoman" w:hAnsi="Times New Roman"/>
          <w:sz w:val="24"/>
          <w:szCs w:val="24"/>
          <w:lang w:eastAsia="ru-RU"/>
        </w:rPr>
        <w:lastRenderedPageBreak/>
        <w:t>України (далі – НБУ)</w:t>
      </w:r>
      <w:r w:rsidR="00DC0B8C" w:rsidRPr="005D1193">
        <w:rPr>
          <w:rFonts w:ascii="Times New Roman" w:eastAsia="TimesNewRoman" w:hAnsi="Times New Roman"/>
          <w:sz w:val="24"/>
          <w:szCs w:val="24"/>
          <w:lang w:eastAsia="ru-RU"/>
        </w:rPr>
        <w:t xml:space="preserve">, та в цінні папери, емітовані НБУ, а саме в депозитні сертифікати НБУ або в облігації внутрішньої державної позики </w:t>
      </w:r>
      <w:r w:rsidR="00B959D6" w:rsidRPr="005D1193">
        <w:rPr>
          <w:rFonts w:ascii="Times New Roman" w:eastAsia="TimesNewRoman" w:hAnsi="Times New Roman"/>
          <w:sz w:val="24"/>
          <w:szCs w:val="24"/>
          <w:lang w:eastAsia="ru-RU"/>
        </w:rPr>
        <w:t xml:space="preserve">України </w:t>
      </w:r>
      <w:r w:rsidR="00DC0B8C" w:rsidRPr="005D1193">
        <w:rPr>
          <w:rFonts w:ascii="Times New Roman" w:eastAsia="TimesNewRoman" w:hAnsi="Times New Roman"/>
          <w:sz w:val="24"/>
          <w:szCs w:val="24"/>
          <w:lang w:eastAsia="ru-RU"/>
        </w:rPr>
        <w:t>(далі – ОВДП), номіновані в національній валюті.</w:t>
      </w:r>
      <w:r w:rsidR="003012A5" w:rsidRPr="005D1193">
        <w:rPr>
          <w:rFonts w:ascii="Times New Roman" w:eastAsia="TimesNewRoman" w:hAnsi="Times New Roman"/>
          <w:sz w:val="24"/>
          <w:szCs w:val="24"/>
          <w:lang w:eastAsia="ru-RU"/>
        </w:rPr>
        <w:t xml:space="preserve"> </w:t>
      </w:r>
    </w:p>
    <w:p w14:paraId="498DBB11" w14:textId="77777777" w:rsidR="000F63F3" w:rsidRPr="005D1193" w:rsidRDefault="000F63F3"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p>
    <w:p w14:paraId="36191963" w14:textId="77777777" w:rsidR="00D35EA1" w:rsidRPr="005D1193" w:rsidRDefault="00D35EA1" w:rsidP="00947CE3">
      <w:pPr>
        <w:tabs>
          <w:tab w:val="left" w:pos="851"/>
          <w:tab w:val="left" w:pos="993"/>
        </w:tabs>
        <w:spacing w:after="120" w:line="240" w:lineRule="auto"/>
        <w:jc w:val="center"/>
        <w:rPr>
          <w:rFonts w:ascii="Times New Roman" w:hAnsi="Times New Roman"/>
          <w:b/>
          <w:sz w:val="24"/>
          <w:szCs w:val="24"/>
        </w:rPr>
      </w:pPr>
      <w:r w:rsidRPr="005D1193">
        <w:rPr>
          <w:rFonts w:ascii="Times New Roman" w:hAnsi="Times New Roman"/>
          <w:b/>
          <w:sz w:val="24"/>
          <w:szCs w:val="24"/>
        </w:rPr>
        <w:t>3. Порядок виявлення ризиків. Методики розрахунку та оцінювання ризиків</w:t>
      </w:r>
    </w:p>
    <w:p w14:paraId="7BEFCA7F" w14:textId="19675016" w:rsidR="00D35EA1" w:rsidRPr="005D1193" w:rsidRDefault="00320C9B" w:rsidP="000A39DA">
      <w:pPr>
        <w:pStyle w:val="a5"/>
        <w:tabs>
          <w:tab w:val="left" w:pos="0"/>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3</w:t>
      </w:r>
      <w:r w:rsidR="00D35EA1" w:rsidRPr="005D1193">
        <w:rPr>
          <w:rFonts w:ascii="Times New Roman" w:eastAsia="TimesNewRoman" w:hAnsi="Times New Roman"/>
          <w:sz w:val="24"/>
          <w:szCs w:val="24"/>
          <w:lang w:eastAsia="ru-RU"/>
        </w:rPr>
        <w:t xml:space="preserve">.1. Розрахунковим центром при провадженні клірингової діяльності здійснюється виявлення, оцінка, контроль та моніторинг всіх основних ризиків, зазначених у розділі </w:t>
      </w:r>
      <w:r w:rsidR="00E50778" w:rsidRPr="005D1193">
        <w:rPr>
          <w:rFonts w:ascii="Times New Roman" w:eastAsia="TimesNewRoman" w:hAnsi="Times New Roman"/>
          <w:sz w:val="24"/>
          <w:szCs w:val="24"/>
          <w:lang w:eastAsia="ru-RU"/>
        </w:rPr>
        <w:t>2</w:t>
      </w:r>
      <w:r w:rsidR="00D35EA1" w:rsidRPr="005D1193">
        <w:rPr>
          <w:rFonts w:ascii="Times New Roman" w:eastAsia="TimesNewRoman" w:hAnsi="Times New Roman"/>
          <w:sz w:val="24"/>
          <w:szCs w:val="24"/>
          <w:lang w:eastAsia="ru-RU"/>
        </w:rPr>
        <w:t xml:space="preserve"> цього Положення. За кожним видом ризику процес виявлення такого ризику, його рівня являє собою встановлення подій, обставин та факторів (далі </w:t>
      </w:r>
      <w:r w:rsidR="00D35EA1" w:rsidRPr="005D1193">
        <w:rPr>
          <w:rFonts w:ascii="Times New Roman" w:hAnsi="Times New Roman"/>
          <w:sz w:val="24"/>
          <w:szCs w:val="24"/>
        </w:rPr>
        <w:t>–</w:t>
      </w:r>
      <w:r w:rsidR="00D35EA1" w:rsidRPr="005D1193">
        <w:rPr>
          <w:rFonts w:ascii="Times New Roman" w:eastAsia="TimesNewRoman" w:hAnsi="Times New Roman"/>
          <w:sz w:val="24"/>
          <w:szCs w:val="24"/>
          <w:lang w:eastAsia="ru-RU"/>
        </w:rPr>
        <w:t xml:space="preserve"> ризик-фактори), внутрішніх та/або зовнішніх, які можуть призвести до такого ризику. На основі виявлення ризику отримується інформація, на підставі якої здійснюється оцінка ризику </w:t>
      </w:r>
      <w:r w:rsidR="00913707" w:rsidRPr="005D1193">
        <w:rPr>
          <w:rFonts w:ascii="Times New Roman" w:eastAsia="TimesNewRoman" w:hAnsi="Times New Roman"/>
          <w:sz w:val="24"/>
          <w:szCs w:val="24"/>
          <w:lang w:eastAsia="ru-RU"/>
        </w:rPr>
        <w:t>і</w:t>
      </w:r>
      <w:r w:rsidR="00D35EA1" w:rsidRPr="005D1193">
        <w:rPr>
          <w:rFonts w:ascii="Times New Roman" w:eastAsia="TimesNewRoman" w:hAnsi="Times New Roman"/>
          <w:sz w:val="24"/>
          <w:szCs w:val="24"/>
          <w:lang w:eastAsia="ru-RU"/>
        </w:rPr>
        <w:t>з застосуванням методів кількісного та/або якісного аналізу.</w:t>
      </w:r>
    </w:p>
    <w:p w14:paraId="39385AAE" w14:textId="7BCAB2DF"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3.2. Розрахунковий центр наражається на ризик ліквідності в разі невиконання (неналежного виконання) учасником клірингу своїх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язань щодо оплати цінних паперів чи їх поставки у належні строки та в повному обсязі; за </w:t>
      </w:r>
      <w:r w:rsidRPr="005D1193">
        <w:rPr>
          <w:rFonts w:ascii="Times New Roman" w:hAnsi="Times New Roman"/>
          <w:sz w:val="24"/>
          <w:szCs w:val="24"/>
        </w:rPr>
        <w:t>операціями Розрахункового центру з розміщення коштів (насамперед клієнтських коштів</w:t>
      </w:r>
      <w:r w:rsidR="00B959D6" w:rsidRPr="005D1193">
        <w:rPr>
          <w:rFonts w:ascii="Times New Roman" w:hAnsi="Times New Roman"/>
          <w:sz w:val="24"/>
          <w:szCs w:val="24"/>
        </w:rPr>
        <w:t xml:space="preserve"> та</w:t>
      </w:r>
      <w:r w:rsidRPr="005D1193">
        <w:rPr>
          <w:rFonts w:ascii="Times New Roman" w:hAnsi="Times New Roman"/>
          <w:sz w:val="24"/>
          <w:szCs w:val="24"/>
        </w:rPr>
        <w:t xml:space="preserve"> коштів </w:t>
      </w:r>
      <w:r w:rsidR="00CE200E" w:rsidRPr="005D1193">
        <w:rPr>
          <w:rFonts w:ascii="Times New Roman" w:hAnsi="Times New Roman"/>
          <w:sz w:val="24"/>
          <w:szCs w:val="24"/>
        </w:rPr>
        <w:t>г</w:t>
      </w:r>
      <w:r w:rsidRPr="005D1193">
        <w:rPr>
          <w:rFonts w:ascii="Times New Roman" w:hAnsi="Times New Roman"/>
          <w:sz w:val="24"/>
          <w:szCs w:val="24"/>
        </w:rPr>
        <w:t xml:space="preserve">арантійного забезпечення) у монетарні інструменти </w:t>
      </w:r>
      <w:r w:rsidR="00D05A2D" w:rsidRPr="005D1193">
        <w:rPr>
          <w:rFonts w:ascii="Times New Roman" w:hAnsi="Times New Roman"/>
          <w:sz w:val="24"/>
          <w:szCs w:val="24"/>
        </w:rPr>
        <w:t xml:space="preserve">НБУ </w:t>
      </w:r>
      <w:r w:rsidRPr="005D1193">
        <w:rPr>
          <w:rFonts w:ascii="Times New Roman" w:hAnsi="Times New Roman"/>
          <w:sz w:val="24"/>
          <w:szCs w:val="24"/>
        </w:rPr>
        <w:t>або державні цінні папери, або в інші інструменти відповідно до інвестиційної політики Розрахункового центру</w:t>
      </w:r>
      <w:r w:rsidRPr="005D1193">
        <w:rPr>
          <w:rFonts w:ascii="Times New Roman" w:eastAsia="TimesNewRoman" w:hAnsi="Times New Roman"/>
          <w:sz w:val="24"/>
          <w:szCs w:val="24"/>
          <w:lang w:eastAsia="ru-RU"/>
        </w:rPr>
        <w:t xml:space="preserve">. </w:t>
      </w:r>
    </w:p>
    <w:p w14:paraId="41FB9875" w14:textId="77777777"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 xml:space="preserve">Для оцінки ризику </w:t>
      </w:r>
      <w:r w:rsidR="00CB27B4" w:rsidRPr="005D1193">
        <w:rPr>
          <w:rFonts w:ascii="Times New Roman" w:eastAsia="TimesNewRoman" w:hAnsi="Times New Roman"/>
          <w:sz w:val="24"/>
          <w:szCs w:val="24"/>
          <w:lang w:eastAsia="ru-RU"/>
        </w:rPr>
        <w:t xml:space="preserve">ліквідності </w:t>
      </w:r>
      <w:r w:rsidRPr="005D1193">
        <w:rPr>
          <w:rFonts w:ascii="Times New Roman" w:eastAsia="TimesNewRoman" w:hAnsi="Times New Roman"/>
          <w:sz w:val="24"/>
          <w:szCs w:val="24"/>
          <w:lang w:eastAsia="ru-RU"/>
        </w:rPr>
        <w:t>Розрахунковий центр використовує такі інструменти моніторингу:</w:t>
      </w:r>
    </w:p>
    <w:p w14:paraId="6C1492C6" w14:textId="2A3D1417"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1) аналіз дотримання нормативів ліквідності та норм 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язкового резервування, установлених</w:t>
      </w:r>
      <w:r w:rsidR="00D05A2D" w:rsidRPr="005D1193">
        <w:rPr>
          <w:rFonts w:ascii="Times New Roman" w:eastAsia="TimesNewRoman" w:hAnsi="Times New Roman"/>
          <w:sz w:val="24"/>
          <w:szCs w:val="24"/>
          <w:lang w:eastAsia="ru-RU"/>
        </w:rPr>
        <w:t xml:space="preserve"> НБУ</w:t>
      </w:r>
      <w:r w:rsidRPr="005D1193">
        <w:rPr>
          <w:rFonts w:ascii="Times New Roman" w:eastAsia="TimesNewRoman" w:hAnsi="Times New Roman"/>
          <w:sz w:val="24"/>
          <w:szCs w:val="24"/>
          <w:lang w:eastAsia="ru-RU"/>
        </w:rPr>
        <w:t>;</w:t>
      </w:r>
    </w:p>
    <w:p w14:paraId="6C4FA0B3" w14:textId="2D40EC1D"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2) GAP-аналіз</w:t>
      </w:r>
      <w:r w:rsidR="00FD1B8B" w:rsidRPr="005D1193">
        <w:rPr>
          <w:rFonts w:ascii="Times New Roman" w:eastAsia="TimesNewRoman" w:hAnsi="Times New Roman"/>
          <w:sz w:val="24"/>
          <w:szCs w:val="24"/>
          <w:lang w:eastAsia="ru-RU"/>
        </w:rPr>
        <w:t xml:space="preserve"> (аналіз розривів)</w:t>
      </w:r>
      <w:r w:rsidRPr="005D1193">
        <w:rPr>
          <w:rFonts w:ascii="Times New Roman" w:eastAsia="TimesNewRoman" w:hAnsi="Times New Roman"/>
          <w:sz w:val="24"/>
          <w:szCs w:val="24"/>
          <w:lang w:eastAsia="ru-RU"/>
        </w:rPr>
        <w:t>, що відображає часову неузгодженість між вимогами та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язаннями </w:t>
      </w:r>
      <w:r w:rsidR="00B959D6" w:rsidRPr="005D1193">
        <w:rPr>
          <w:rFonts w:ascii="Times New Roman" w:eastAsia="TimesNewRoman" w:hAnsi="Times New Roman"/>
          <w:sz w:val="24"/>
          <w:szCs w:val="24"/>
          <w:lang w:eastAsia="ru-RU"/>
        </w:rPr>
        <w:t>Розрахункового центру</w:t>
      </w:r>
      <w:r w:rsidRPr="005D1193">
        <w:rPr>
          <w:rFonts w:ascii="Times New Roman" w:eastAsia="TimesNewRoman" w:hAnsi="Times New Roman"/>
          <w:sz w:val="24"/>
          <w:szCs w:val="24"/>
          <w:lang w:eastAsia="ru-RU"/>
        </w:rPr>
        <w:t xml:space="preserve"> (як балансовими, так і позабалансовими) за контрактними або очікуваними строками погашення; </w:t>
      </w:r>
    </w:p>
    <w:p w14:paraId="45D4ED16" w14:textId="27860C8B"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3) аналіз концентрації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язань </w:t>
      </w:r>
      <w:r w:rsidR="00B959D6" w:rsidRPr="005D1193">
        <w:rPr>
          <w:rFonts w:ascii="Times New Roman" w:eastAsia="TimesNewRoman" w:hAnsi="Times New Roman"/>
          <w:sz w:val="24"/>
          <w:szCs w:val="24"/>
          <w:lang w:eastAsia="ru-RU"/>
        </w:rPr>
        <w:t>Розрахункового центру</w:t>
      </w:r>
      <w:r w:rsidRPr="005D1193">
        <w:rPr>
          <w:rFonts w:ascii="Times New Roman" w:eastAsia="TimesNewRoman" w:hAnsi="Times New Roman"/>
          <w:sz w:val="24"/>
          <w:szCs w:val="24"/>
          <w:lang w:eastAsia="ru-RU"/>
        </w:rPr>
        <w:t xml:space="preserve"> за значимими групами контрагентів, інструментами</w:t>
      </w:r>
      <w:r w:rsidR="00BC656F" w:rsidRPr="005D1193">
        <w:rPr>
          <w:rFonts w:ascii="Times New Roman" w:eastAsia="TimesNewRoman" w:hAnsi="Times New Roman"/>
          <w:sz w:val="24"/>
          <w:szCs w:val="24"/>
          <w:lang w:eastAsia="ru-RU"/>
        </w:rPr>
        <w:t xml:space="preserve"> </w:t>
      </w:r>
      <w:r w:rsidRPr="005D1193">
        <w:rPr>
          <w:rFonts w:ascii="Times New Roman" w:eastAsia="TimesNewRoman" w:hAnsi="Times New Roman"/>
          <w:sz w:val="24"/>
          <w:szCs w:val="24"/>
          <w:lang w:eastAsia="ru-RU"/>
        </w:rPr>
        <w:t>/</w:t>
      </w:r>
      <w:r w:rsidR="00BC656F" w:rsidRPr="005D1193">
        <w:rPr>
          <w:rFonts w:ascii="Times New Roman" w:eastAsia="TimesNewRoman" w:hAnsi="Times New Roman"/>
          <w:sz w:val="24"/>
          <w:szCs w:val="24"/>
          <w:lang w:eastAsia="ru-RU"/>
        </w:rPr>
        <w:t xml:space="preserve"> </w:t>
      </w:r>
      <w:r w:rsidRPr="005D1193">
        <w:rPr>
          <w:rFonts w:ascii="Times New Roman" w:eastAsia="TimesNewRoman" w:hAnsi="Times New Roman"/>
          <w:sz w:val="24"/>
          <w:szCs w:val="24"/>
          <w:lang w:eastAsia="ru-RU"/>
        </w:rPr>
        <w:t>продуктами;</w:t>
      </w:r>
    </w:p>
    <w:p w14:paraId="14983ACA" w14:textId="7BED361A"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4) співставлення обсягів активів та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язань у кожній значимій валюті, уключаючи співставлення в розрізі часових інтервалів: до 1 місяця, 1 - 3 місяці, 3 - 6 місяців, 6 - 9 місяців, 9 - 12 місяців та понад 12 місяців. Значимою валютою є іноземна валюта, частка якої в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язаннях </w:t>
      </w:r>
      <w:r w:rsidR="00B959D6" w:rsidRPr="005D1193">
        <w:rPr>
          <w:rFonts w:ascii="Times New Roman" w:eastAsia="TimesNewRoman" w:hAnsi="Times New Roman"/>
          <w:sz w:val="24"/>
          <w:szCs w:val="24"/>
          <w:lang w:eastAsia="ru-RU"/>
        </w:rPr>
        <w:t>Розрахункового центру</w:t>
      </w:r>
      <w:r w:rsidRPr="005D1193">
        <w:rPr>
          <w:rFonts w:ascii="Times New Roman" w:eastAsia="TimesNewRoman" w:hAnsi="Times New Roman"/>
          <w:sz w:val="24"/>
          <w:szCs w:val="24"/>
          <w:lang w:eastAsia="ru-RU"/>
        </w:rPr>
        <w:t xml:space="preserve"> становить більше п</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яти відсотків на дату проведення аналізу;</w:t>
      </w:r>
    </w:p>
    <w:p w14:paraId="2F140A09" w14:textId="77777777"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5) моніторинг наявних необтяжених високоякісних ліквідних активів, що підтримуються як можливе забезпечення на випадок реалізації стрес-сценаріїв, уключаючи втрату або погіршення умов залучення незабезпечених і доступних у нормальних умовах забезпечених джерел фінансування за видами та значимими валютами;</w:t>
      </w:r>
    </w:p>
    <w:p w14:paraId="2ED1CD05" w14:textId="77777777"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6) аналіз інформації про ситуацію на ринку цінних паперів та фінансовому секторі, а також ринкових характеристик цінних паперів, включених до переліку високоякісних ліквідних активів;</w:t>
      </w:r>
    </w:p>
    <w:p w14:paraId="41B2F2D0" w14:textId="686D8688"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7) аналіз ризику ліквідності</w:t>
      </w:r>
      <w:r w:rsidR="00B959D6" w:rsidRPr="005D1193">
        <w:rPr>
          <w:rFonts w:ascii="Times New Roman" w:eastAsia="TimesNewRoman" w:hAnsi="Times New Roman"/>
          <w:sz w:val="24"/>
          <w:szCs w:val="24"/>
          <w:lang w:eastAsia="ru-RU"/>
        </w:rPr>
        <w:t xml:space="preserve"> Розрахункового центру</w:t>
      </w:r>
      <w:r w:rsidRPr="005D1193">
        <w:rPr>
          <w:rFonts w:ascii="Times New Roman" w:eastAsia="TimesNewRoman" w:hAnsi="Times New Roman"/>
          <w:sz w:val="24"/>
          <w:szCs w:val="24"/>
          <w:lang w:eastAsia="ru-RU"/>
        </w:rPr>
        <w:t xml:space="preserve"> в межах операційного дня.</w:t>
      </w:r>
    </w:p>
    <w:p w14:paraId="0919DFAC" w14:textId="0CFB21BF" w:rsidR="002D461F" w:rsidRPr="005D1193" w:rsidRDefault="002D461F" w:rsidP="000A39DA">
      <w:pPr>
        <w:pStyle w:val="afc"/>
        <w:tabs>
          <w:tab w:val="left" w:pos="993"/>
        </w:tabs>
        <w:spacing w:after="120"/>
        <w:ind w:firstLine="709"/>
        <w:jc w:val="both"/>
        <w:rPr>
          <w:sz w:val="24"/>
          <w:szCs w:val="24"/>
          <w:lang w:val="uk-UA"/>
        </w:rPr>
      </w:pPr>
      <w:r w:rsidRPr="005D1193">
        <w:rPr>
          <w:sz w:val="24"/>
          <w:szCs w:val="24"/>
          <w:lang w:val="uk-UA"/>
        </w:rPr>
        <w:t xml:space="preserve">Враховуючи бізнес-профіль </w:t>
      </w:r>
      <w:r w:rsidR="004C629D" w:rsidRPr="005D1193">
        <w:rPr>
          <w:sz w:val="24"/>
          <w:szCs w:val="24"/>
          <w:lang w:val="uk-UA"/>
        </w:rPr>
        <w:t>Розрахунковий центр</w:t>
      </w:r>
      <w:r w:rsidRPr="005D1193">
        <w:rPr>
          <w:sz w:val="24"/>
          <w:szCs w:val="24"/>
          <w:lang w:val="uk-UA"/>
        </w:rPr>
        <w:t xml:space="preserve"> розміщу</w:t>
      </w:r>
      <w:r w:rsidR="004C629D" w:rsidRPr="005D1193">
        <w:rPr>
          <w:sz w:val="24"/>
          <w:szCs w:val="24"/>
          <w:lang w:val="uk-UA"/>
        </w:rPr>
        <w:t>є</w:t>
      </w:r>
      <w:r w:rsidRPr="005D1193">
        <w:rPr>
          <w:sz w:val="24"/>
          <w:szCs w:val="24"/>
          <w:lang w:val="uk-UA"/>
        </w:rPr>
        <w:t xml:space="preserve"> кошти лише в казначейські та інші цінні папери, що рефінансуються НБУ, та в цінні папери, емітовані НБУ, а саме в депозитні сертифікати НБУ або в ОВДП, номіновані в національній валюті, з терміном погашення таких облігацій не пізніше 5-ти років з дати придбання. </w:t>
      </w:r>
    </w:p>
    <w:p w14:paraId="40A66F40" w14:textId="64ADABCE" w:rsidR="002D461F" w:rsidRPr="005D1193" w:rsidRDefault="002D461F" w:rsidP="000A39DA">
      <w:pPr>
        <w:pStyle w:val="afc"/>
        <w:tabs>
          <w:tab w:val="left" w:pos="993"/>
        </w:tabs>
        <w:spacing w:after="120"/>
        <w:ind w:firstLine="709"/>
        <w:jc w:val="both"/>
        <w:rPr>
          <w:sz w:val="24"/>
          <w:szCs w:val="24"/>
          <w:lang w:val="uk-UA"/>
        </w:rPr>
      </w:pPr>
      <w:r w:rsidRPr="005D1193">
        <w:rPr>
          <w:sz w:val="24"/>
          <w:szCs w:val="24"/>
          <w:lang w:val="uk-UA"/>
        </w:rPr>
        <w:t xml:space="preserve">Управління ліквідністю </w:t>
      </w:r>
      <w:r w:rsidR="006157A3" w:rsidRPr="005D1193">
        <w:rPr>
          <w:sz w:val="24"/>
          <w:szCs w:val="24"/>
          <w:lang w:val="uk-UA"/>
        </w:rPr>
        <w:t>Розрахункового центру</w:t>
      </w:r>
      <w:r w:rsidRPr="005D1193">
        <w:rPr>
          <w:sz w:val="24"/>
          <w:szCs w:val="24"/>
          <w:lang w:val="uk-UA"/>
        </w:rPr>
        <w:t xml:space="preserve"> базується на тому принципі</w:t>
      </w:r>
      <w:r w:rsidR="00BC656F" w:rsidRPr="005D1193">
        <w:rPr>
          <w:sz w:val="24"/>
          <w:szCs w:val="24"/>
          <w:lang w:val="uk-UA"/>
        </w:rPr>
        <w:t xml:space="preserve"> </w:t>
      </w:r>
      <w:r w:rsidRPr="005D1193">
        <w:rPr>
          <w:sz w:val="24"/>
          <w:szCs w:val="24"/>
          <w:lang w:val="uk-UA"/>
        </w:rPr>
        <w:t>/</w:t>
      </w:r>
      <w:r w:rsidR="00BC656F" w:rsidRPr="005D1193">
        <w:rPr>
          <w:sz w:val="24"/>
          <w:szCs w:val="24"/>
          <w:lang w:val="uk-UA"/>
        </w:rPr>
        <w:t xml:space="preserve"> </w:t>
      </w:r>
      <w:r w:rsidRPr="005D1193">
        <w:rPr>
          <w:sz w:val="24"/>
          <w:szCs w:val="24"/>
          <w:lang w:val="uk-UA"/>
        </w:rPr>
        <w:t>припущен</w:t>
      </w:r>
      <w:r w:rsidR="00F43030" w:rsidRPr="005D1193">
        <w:rPr>
          <w:sz w:val="24"/>
          <w:szCs w:val="24"/>
          <w:lang w:val="uk-UA"/>
        </w:rPr>
        <w:t>н</w:t>
      </w:r>
      <w:r w:rsidRPr="005D1193">
        <w:rPr>
          <w:sz w:val="24"/>
          <w:szCs w:val="24"/>
          <w:lang w:val="uk-UA"/>
        </w:rPr>
        <w:t xml:space="preserve">і, що наявні необтяжені високоякісні ліквідні активи мають повністю покривати 100%-й відтік коштів клієнтів </w:t>
      </w:r>
      <w:r w:rsidR="00D05A2D" w:rsidRPr="005D1193">
        <w:rPr>
          <w:sz w:val="24"/>
          <w:szCs w:val="24"/>
          <w:lang w:val="uk-UA"/>
        </w:rPr>
        <w:t>Розрахункового центру</w:t>
      </w:r>
      <w:r w:rsidRPr="005D1193">
        <w:rPr>
          <w:sz w:val="24"/>
          <w:szCs w:val="24"/>
          <w:lang w:val="uk-UA"/>
        </w:rPr>
        <w:t>.</w:t>
      </w:r>
    </w:p>
    <w:p w14:paraId="4C06B2B5" w14:textId="39CD41C6" w:rsidR="002D461F" w:rsidRPr="005D1193" w:rsidRDefault="006157A3" w:rsidP="000A39DA">
      <w:pPr>
        <w:pStyle w:val="afc"/>
        <w:tabs>
          <w:tab w:val="left" w:pos="993"/>
        </w:tabs>
        <w:spacing w:after="120"/>
        <w:ind w:firstLine="709"/>
        <w:jc w:val="both"/>
        <w:rPr>
          <w:sz w:val="24"/>
          <w:szCs w:val="24"/>
          <w:lang w:val="uk-UA"/>
        </w:rPr>
      </w:pPr>
      <w:r w:rsidRPr="005D1193">
        <w:rPr>
          <w:sz w:val="24"/>
          <w:szCs w:val="24"/>
          <w:lang w:val="uk-UA"/>
        </w:rPr>
        <w:t>Розрахунковий центр</w:t>
      </w:r>
      <w:r w:rsidR="002D461F" w:rsidRPr="005D1193">
        <w:rPr>
          <w:sz w:val="24"/>
          <w:szCs w:val="24"/>
          <w:lang w:val="uk-UA"/>
        </w:rPr>
        <w:t xml:space="preserve"> протягом операційного дня підтримує на кореспондентському рахунку в НБУ суму коштів, що є тотожною або перевищує за розміром суму залишків на всіх рахунках клієнтів </w:t>
      </w:r>
      <w:r w:rsidR="00D05A2D" w:rsidRPr="005D1193">
        <w:rPr>
          <w:rFonts w:eastAsia="TimesNewRoman"/>
          <w:sz w:val="24"/>
          <w:szCs w:val="24"/>
          <w:lang w:val="uk-UA"/>
        </w:rPr>
        <w:t>Розрахункового центру</w:t>
      </w:r>
      <w:r w:rsidR="002D461F" w:rsidRPr="005D1193">
        <w:rPr>
          <w:sz w:val="24"/>
          <w:szCs w:val="24"/>
          <w:lang w:val="uk-UA"/>
        </w:rPr>
        <w:t xml:space="preserve">. </w:t>
      </w:r>
    </w:p>
    <w:p w14:paraId="38029608" w14:textId="3C684095" w:rsidR="002D461F" w:rsidRPr="005D1193" w:rsidRDefault="002D461F" w:rsidP="000A39DA">
      <w:pPr>
        <w:pStyle w:val="afc"/>
        <w:tabs>
          <w:tab w:val="left" w:pos="993"/>
        </w:tabs>
        <w:spacing w:after="120"/>
        <w:ind w:firstLine="709"/>
        <w:jc w:val="both"/>
        <w:rPr>
          <w:sz w:val="24"/>
          <w:szCs w:val="24"/>
          <w:lang w:val="uk-UA"/>
        </w:rPr>
      </w:pPr>
      <w:r w:rsidRPr="005D1193">
        <w:rPr>
          <w:sz w:val="24"/>
          <w:szCs w:val="24"/>
          <w:lang w:val="uk-UA"/>
        </w:rPr>
        <w:lastRenderedPageBreak/>
        <w:t xml:space="preserve">Тимчасово вільні клієнтські кошти, за якими станом на кінець операційного часу не було прийнято розрахункових документів на переказ коштів за межі </w:t>
      </w:r>
      <w:r w:rsidR="006157A3" w:rsidRPr="005D1193">
        <w:rPr>
          <w:sz w:val="24"/>
          <w:szCs w:val="24"/>
          <w:lang w:val="uk-UA"/>
        </w:rPr>
        <w:t>Розрахункового центру</w:t>
      </w:r>
      <w:r w:rsidRPr="005D1193">
        <w:rPr>
          <w:sz w:val="24"/>
          <w:szCs w:val="24"/>
          <w:lang w:val="uk-UA"/>
        </w:rPr>
        <w:t xml:space="preserve"> у розмірі коштів наявних на рахунку клієнта, розміщуються</w:t>
      </w:r>
      <w:r w:rsidR="00D05A2D" w:rsidRPr="005D1193">
        <w:rPr>
          <w:sz w:val="24"/>
          <w:szCs w:val="24"/>
          <w:lang w:val="uk-UA"/>
        </w:rPr>
        <w:t xml:space="preserve"> </w:t>
      </w:r>
      <w:r w:rsidRPr="005D1193">
        <w:rPr>
          <w:sz w:val="24"/>
          <w:szCs w:val="24"/>
          <w:lang w:val="uk-UA"/>
        </w:rPr>
        <w:t xml:space="preserve">в інструменти монетарної політики НБУ, а саме – депозитні сертифікати зі строком "овернайт". На початок операційного дня </w:t>
      </w:r>
      <w:r w:rsidR="00D05A2D" w:rsidRPr="005D1193">
        <w:rPr>
          <w:sz w:val="24"/>
          <w:szCs w:val="24"/>
          <w:lang w:val="uk-UA"/>
        </w:rPr>
        <w:t>депозитні сертифікати</w:t>
      </w:r>
      <w:r w:rsidRPr="005D1193">
        <w:rPr>
          <w:sz w:val="24"/>
          <w:szCs w:val="24"/>
          <w:lang w:val="uk-UA"/>
        </w:rPr>
        <w:t xml:space="preserve"> погашаються НБУ та кошти повертаються на кореспондентський рахунок </w:t>
      </w:r>
      <w:r w:rsidR="006157A3" w:rsidRPr="005D1193">
        <w:rPr>
          <w:sz w:val="24"/>
          <w:szCs w:val="24"/>
          <w:lang w:val="uk-UA"/>
        </w:rPr>
        <w:t>Розрахункового центру</w:t>
      </w:r>
      <w:r w:rsidRPr="005D1193">
        <w:rPr>
          <w:sz w:val="24"/>
          <w:szCs w:val="24"/>
          <w:lang w:val="uk-UA"/>
        </w:rPr>
        <w:t>.</w:t>
      </w:r>
    </w:p>
    <w:p w14:paraId="5642874C" w14:textId="1062884E" w:rsidR="002D461F" w:rsidRPr="005D1193" w:rsidRDefault="002D461F" w:rsidP="000A39DA">
      <w:pPr>
        <w:pStyle w:val="afc"/>
        <w:tabs>
          <w:tab w:val="left" w:pos="993"/>
        </w:tabs>
        <w:spacing w:after="120"/>
        <w:ind w:firstLine="709"/>
        <w:jc w:val="both"/>
        <w:rPr>
          <w:sz w:val="24"/>
          <w:szCs w:val="24"/>
          <w:lang w:val="uk-UA"/>
        </w:rPr>
      </w:pPr>
      <w:r w:rsidRPr="005D1193">
        <w:rPr>
          <w:sz w:val="24"/>
          <w:szCs w:val="24"/>
          <w:lang w:val="uk-UA"/>
        </w:rPr>
        <w:t>Таким чином, часова неузгодженість між вимогами та зобов</w:t>
      </w:r>
      <w:r w:rsidR="005F41FA" w:rsidRPr="005D1193">
        <w:rPr>
          <w:sz w:val="24"/>
          <w:szCs w:val="24"/>
          <w:lang w:val="uk-UA"/>
        </w:rPr>
        <w:t>’</w:t>
      </w:r>
      <w:r w:rsidRPr="005D1193">
        <w:rPr>
          <w:sz w:val="24"/>
          <w:szCs w:val="24"/>
          <w:lang w:val="uk-UA"/>
        </w:rPr>
        <w:t xml:space="preserve">язаннями </w:t>
      </w:r>
      <w:r w:rsidR="006157A3" w:rsidRPr="005D1193">
        <w:rPr>
          <w:sz w:val="24"/>
          <w:szCs w:val="24"/>
          <w:lang w:val="uk-UA"/>
        </w:rPr>
        <w:t>Розрахункового центру</w:t>
      </w:r>
      <w:r w:rsidRPr="005D1193">
        <w:rPr>
          <w:sz w:val="24"/>
          <w:szCs w:val="24"/>
          <w:lang w:val="uk-UA"/>
        </w:rPr>
        <w:t xml:space="preserve"> за контрактними або очікуваними строками погашення (в тому числі в межах операційного дня) по факту відсутня. </w:t>
      </w:r>
    </w:p>
    <w:p w14:paraId="514D5902" w14:textId="0D3B2E5A"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3.3. На ринковий ризик Розрахунковий центр як центральний контрагент наражається у разі, коли ринкова вартість цінного паперу (іншого фінансового інструменту), щодо якого в учасників клірингу чи Розрахункового центру як центрального контрагента є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язання (або який наданий в якості </w:t>
      </w:r>
      <w:r w:rsidR="00A66F2B" w:rsidRPr="005D1193">
        <w:rPr>
          <w:rFonts w:ascii="Times New Roman" w:eastAsia="TimesNewRoman" w:hAnsi="Times New Roman"/>
          <w:sz w:val="24"/>
          <w:szCs w:val="24"/>
          <w:lang w:eastAsia="ru-RU"/>
        </w:rPr>
        <w:t>гарантійного забезпечення</w:t>
      </w:r>
      <w:r w:rsidRPr="005D1193">
        <w:rPr>
          <w:rFonts w:ascii="Times New Roman" w:eastAsia="TimesNewRoman" w:hAnsi="Times New Roman"/>
          <w:sz w:val="24"/>
          <w:szCs w:val="24"/>
          <w:lang w:eastAsia="ru-RU"/>
        </w:rPr>
        <w:t>), змінюється у несприятливому напрямку та спричиняє (чи може призвести) додаткові витрати, збитки Розрахункового центру, які пов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язані з необхідністю здійснення Розрахунковим центром купівлі або продажу цінних паперів та/або здійснення запозичень на грошовому ринку в разі невиконання (неналежного виконання)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язань учасниками клірингу з оплати чи поставки цінних паперів. </w:t>
      </w:r>
    </w:p>
    <w:p w14:paraId="1F5C78DF" w14:textId="77777777"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Для вимірювання ринкового ризику Розрахунковий центр використовує метод вартості під ризиком (VаR).</w:t>
      </w:r>
    </w:p>
    <w:p w14:paraId="3995C001" w14:textId="77777777" w:rsidR="002D461F" w:rsidRPr="005D1193" w:rsidRDefault="002D461F" w:rsidP="000A39DA">
      <w:pPr>
        <w:tabs>
          <w:tab w:val="left" w:pos="284"/>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В залежності від поставленого завдання та вхідних даних можуть застосовуватись наступні методи оцінки VаR:</w:t>
      </w:r>
    </w:p>
    <w:p w14:paraId="40F3BAA8" w14:textId="77777777" w:rsidR="002D461F" w:rsidRPr="005D1193" w:rsidRDefault="002D461F"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історичне моделювання</w:t>
      </w:r>
      <w:r w:rsidR="00A77C64" w:rsidRPr="005D1193">
        <w:rPr>
          <w:sz w:val="24"/>
          <w:szCs w:val="24"/>
          <w:lang w:val="uk-UA"/>
        </w:rPr>
        <w:t>;</w:t>
      </w:r>
    </w:p>
    <w:p w14:paraId="614CA622" w14:textId="7CF9AEAC" w:rsidR="002D461F" w:rsidRPr="005D1193" w:rsidRDefault="002D461F"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параметрична модель</w:t>
      </w:r>
      <w:r w:rsidR="00F43030" w:rsidRPr="005D1193">
        <w:rPr>
          <w:sz w:val="24"/>
          <w:szCs w:val="24"/>
          <w:lang w:val="uk-UA"/>
        </w:rPr>
        <w:t>.</w:t>
      </w:r>
    </w:p>
    <w:p w14:paraId="548E3DCB" w14:textId="77777777" w:rsidR="002D461F" w:rsidRPr="005D1193" w:rsidRDefault="002D461F" w:rsidP="000A39DA">
      <w:pPr>
        <w:pStyle w:val="afc"/>
        <w:tabs>
          <w:tab w:val="left" w:pos="993"/>
        </w:tabs>
        <w:spacing w:after="120"/>
        <w:ind w:firstLine="709"/>
        <w:jc w:val="both"/>
        <w:rPr>
          <w:rFonts w:eastAsia="TimesNewRoman"/>
          <w:sz w:val="24"/>
          <w:szCs w:val="24"/>
          <w:lang w:val="uk-UA"/>
        </w:rPr>
      </w:pPr>
      <w:r w:rsidRPr="005D1193">
        <w:rPr>
          <w:sz w:val="24"/>
          <w:szCs w:val="24"/>
          <w:lang w:val="uk-UA"/>
        </w:rPr>
        <w:t>Детальн</w:t>
      </w:r>
      <w:r w:rsidR="006157A3" w:rsidRPr="005D1193">
        <w:rPr>
          <w:sz w:val="24"/>
          <w:szCs w:val="24"/>
          <w:lang w:val="uk-UA"/>
        </w:rPr>
        <w:t>ий</w:t>
      </w:r>
      <w:r w:rsidRPr="005D1193">
        <w:rPr>
          <w:sz w:val="24"/>
          <w:szCs w:val="24"/>
          <w:lang w:val="uk-UA"/>
        </w:rPr>
        <w:t xml:space="preserve"> опис методів оцінки VаR та алгоритму їх застосування для оцінки ринкового ризику </w:t>
      </w:r>
      <w:r w:rsidRPr="005D1193">
        <w:rPr>
          <w:rFonts w:eastAsia="TimesNewRoman"/>
          <w:sz w:val="24"/>
          <w:szCs w:val="24"/>
          <w:lang w:val="uk-UA"/>
        </w:rPr>
        <w:t>Розрахунковим центром наведен</w:t>
      </w:r>
      <w:r w:rsidR="00C02076" w:rsidRPr="005D1193">
        <w:rPr>
          <w:rFonts w:eastAsia="TimesNewRoman"/>
          <w:sz w:val="24"/>
          <w:szCs w:val="24"/>
          <w:lang w:val="uk-UA"/>
        </w:rPr>
        <w:t>ий</w:t>
      </w:r>
      <w:r w:rsidRPr="005D1193">
        <w:rPr>
          <w:rFonts w:eastAsia="TimesNewRoman"/>
          <w:sz w:val="24"/>
          <w:szCs w:val="24"/>
          <w:lang w:val="uk-UA"/>
        </w:rPr>
        <w:t xml:space="preserve"> в Методиці вимірювання (оцінки) ринкового ризику.</w:t>
      </w:r>
    </w:p>
    <w:p w14:paraId="6FE56D9C" w14:textId="6E9E06A9" w:rsidR="00F413D8" w:rsidRPr="005D1193" w:rsidRDefault="00F413D8" w:rsidP="000A39DA">
      <w:pPr>
        <w:tabs>
          <w:tab w:val="left" w:pos="709"/>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3.4. Операційний ризик може спричинити викривлення інформації та помилки при проведенні обробки інформації, що:</w:t>
      </w:r>
    </w:p>
    <w:p w14:paraId="4FAAE3D8" w14:textId="44DC9A68" w:rsidR="00F413D8" w:rsidRPr="005D1193" w:rsidRDefault="00F413D8" w:rsidP="000A39DA">
      <w:pPr>
        <w:pStyle w:val="afc"/>
        <w:numPr>
          <w:ilvl w:val="0"/>
          <w:numId w:val="40"/>
        </w:numPr>
        <w:tabs>
          <w:tab w:val="left" w:pos="851"/>
        </w:tabs>
        <w:spacing w:after="120"/>
        <w:ind w:left="0" w:firstLine="709"/>
        <w:jc w:val="both"/>
        <w:rPr>
          <w:sz w:val="24"/>
          <w:szCs w:val="24"/>
          <w:lang w:val="uk-UA"/>
        </w:rPr>
      </w:pPr>
      <w:r w:rsidRPr="005D1193">
        <w:rPr>
          <w:sz w:val="24"/>
          <w:szCs w:val="24"/>
          <w:lang w:val="uk-UA"/>
        </w:rPr>
        <w:t>подається  та/або отримується від фондової біржі;</w:t>
      </w:r>
    </w:p>
    <w:p w14:paraId="69F3BE24" w14:textId="5E1C5FAC" w:rsidR="00F413D8" w:rsidRPr="005D1193" w:rsidRDefault="00D05A2D" w:rsidP="000A39DA">
      <w:pPr>
        <w:pStyle w:val="afc"/>
        <w:numPr>
          <w:ilvl w:val="0"/>
          <w:numId w:val="40"/>
        </w:numPr>
        <w:tabs>
          <w:tab w:val="left" w:pos="851"/>
        </w:tabs>
        <w:spacing w:after="120"/>
        <w:ind w:left="0" w:firstLine="709"/>
        <w:jc w:val="both"/>
        <w:rPr>
          <w:sz w:val="24"/>
          <w:szCs w:val="24"/>
          <w:lang w:val="uk-UA"/>
        </w:rPr>
      </w:pPr>
      <w:r w:rsidRPr="005D1193">
        <w:rPr>
          <w:sz w:val="24"/>
          <w:szCs w:val="24"/>
          <w:lang w:val="uk-UA"/>
        </w:rPr>
        <w:t xml:space="preserve">подається та/або отримується від </w:t>
      </w:r>
      <w:r w:rsidR="00F413D8" w:rsidRPr="005D1193">
        <w:rPr>
          <w:sz w:val="24"/>
          <w:szCs w:val="24"/>
          <w:lang w:val="uk-UA"/>
        </w:rPr>
        <w:t>Центрально</w:t>
      </w:r>
      <w:r w:rsidRPr="005D1193">
        <w:rPr>
          <w:sz w:val="24"/>
          <w:szCs w:val="24"/>
          <w:lang w:val="uk-UA"/>
        </w:rPr>
        <w:t>го</w:t>
      </w:r>
      <w:r w:rsidR="00F413D8" w:rsidRPr="005D1193">
        <w:rPr>
          <w:sz w:val="24"/>
          <w:szCs w:val="24"/>
          <w:lang w:val="uk-UA"/>
        </w:rPr>
        <w:t xml:space="preserve"> депозитарію</w:t>
      </w:r>
      <w:r w:rsidR="00A77C64" w:rsidRPr="005D1193">
        <w:rPr>
          <w:sz w:val="24"/>
          <w:szCs w:val="24"/>
          <w:lang w:val="uk-UA"/>
        </w:rPr>
        <w:t xml:space="preserve"> або депозитарію</w:t>
      </w:r>
      <w:r w:rsidRPr="005D1193">
        <w:rPr>
          <w:sz w:val="24"/>
          <w:szCs w:val="24"/>
          <w:lang w:val="uk-UA"/>
        </w:rPr>
        <w:t xml:space="preserve"> НБУ</w:t>
      </w:r>
      <w:r w:rsidR="00F413D8" w:rsidRPr="005D1193">
        <w:rPr>
          <w:sz w:val="24"/>
          <w:szCs w:val="24"/>
          <w:lang w:val="uk-UA"/>
        </w:rPr>
        <w:t>;</w:t>
      </w:r>
    </w:p>
    <w:p w14:paraId="46D261C4" w14:textId="0EF684ED" w:rsidR="00F413D8" w:rsidRPr="005D1193" w:rsidRDefault="00F413D8" w:rsidP="000A39DA">
      <w:pPr>
        <w:pStyle w:val="afc"/>
        <w:numPr>
          <w:ilvl w:val="0"/>
          <w:numId w:val="40"/>
        </w:numPr>
        <w:tabs>
          <w:tab w:val="left" w:pos="851"/>
        </w:tabs>
        <w:spacing w:after="120"/>
        <w:ind w:left="0" w:firstLine="709"/>
        <w:jc w:val="both"/>
        <w:rPr>
          <w:sz w:val="24"/>
          <w:szCs w:val="24"/>
          <w:lang w:val="uk-UA"/>
        </w:rPr>
      </w:pPr>
      <w:r w:rsidRPr="005D1193">
        <w:rPr>
          <w:sz w:val="24"/>
          <w:szCs w:val="24"/>
          <w:lang w:val="uk-UA"/>
        </w:rPr>
        <w:t>подається та/або отримується від учасників клірингу</w:t>
      </w:r>
      <w:r w:rsidR="00881722" w:rsidRPr="005D1193">
        <w:rPr>
          <w:sz w:val="24"/>
          <w:szCs w:val="24"/>
          <w:lang w:val="uk-UA"/>
        </w:rPr>
        <w:t>.</w:t>
      </w:r>
    </w:p>
    <w:p w14:paraId="0FFD6B41" w14:textId="3C3E1090" w:rsidR="00F413D8" w:rsidRPr="005D1193" w:rsidRDefault="00881722" w:rsidP="000A39DA">
      <w:pPr>
        <w:pStyle w:val="afc"/>
        <w:tabs>
          <w:tab w:val="left" w:pos="993"/>
        </w:tabs>
        <w:spacing w:after="120"/>
        <w:ind w:firstLine="709"/>
        <w:jc w:val="both"/>
        <w:rPr>
          <w:sz w:val="24"/>
          <w:szCs w:val="24"/>
          <w:lang w:val="uk-UA"/>
        </w:rPr>
      </w:pPr>
      <w:r w:rsidRPr="005D1193">
        <w:rPr>
          <w:sz w:val="24"/>
          <w:szCs w:val="24"/>
          <w:lang w:val="uk-UA"/>
        </w:rPr>
        <w:t>Я</w:t>
      </w:r>
      <w:r w:rsidR="00F413D8" w:rsidRPr="005D1193">
        <w:rPr>
          <w:sz w:val="24"/>
          <w:szCs w:val="24"/>
          <w:lang w:val="uk-UA"/>
        </w:rPr>
        <w:t>к наслідок, зазначений ризик може призвести до підвищення рівня інших ризиків, а також до неспроможності Розрахункового центру в цілому здійснювати контроль і управління ризиками, які вже виникли</w:t>
      </w:r>
      <w:r w:rsidRPr="005D1193">
        <w:rPr>
          <w:sz w:val="24"/>
          <w:szCs w:val="24"/>
          <w:lang w:val="uk-UA"/>
        </w:rPr>
        <w:t xml:space="preserve"> та</w:t>
      </w:r>
      <w:r w:rsidR="00F413D8" w:rsidRPr="005D1193">
        <w:rPr>
          <w:sz w:val="24"/>
          <w:szCs w:val="24"/>
          <w:lang w:val="uk-UA"/>
        </w:rPr>
        <w:t xml:space="preserve"> виконувати розрахунки </w:t>
      </w:r>
      <w:r w:rsidR="0074740C" w:rsidRPr="005D1193">
        <w:rPr>
          <w:sz w:val="24"/>
          <w:szCs w:val="24"/>
          <w:lang w:val="uk-UA"/>
        </w:rPr>
        <w:t xml:space="preserve">за правочинами щодо цінних паперів </w:t>
      </w:r>
      <w:r w:rsidR="00F413D8" w:rsidRPr="005D1193">
        <w:rPr>
          <w:sz w:val="24"/>
          <w:szCs w:val="24"/>
          <w:lang w:val="uk-UA"/>
        </w:rPr>
        <w:t>в повному обсязі.</w:t>
      </w:r>
    </w:p>
    <w:p w14:paraId="0808684B" w14:textId="77777777" w:rsidR="00F413D8" w:rsidRPr="005D1193" w:rsidRDefault="00F413D8" w:rsidP="000A39DA">
      <w:pPr>
        <w:pStyle w:val="afc"/>
        <w:tabs>
          <w:tab w:val="left" w:pos="993"/>
        </w:tabs>
        <w:spacing w:after="120"/>
        <w:ind w:firstLine="709"/>
        <w:jc w:val="both"/>
        <w:rPr>
          <w:sz w:val="24"/>
          <w:szCs w:val="24"/>
          <w:lang w:val="uk-UA"/>
        </w:rPr>
      </w:pPr>
      <w:r w:rsidRPr="005D1193">
        <w:rPr>
          <w:sz w:val="24"/>
          <w:szCs w:val="24"/>
          <w:lang w:val="uk-UA"/>
        </w:rPr>
        <w:t>Розрахунковий центр з метою виявлення та вимірювання (оцінки) операційного ризику використовує такі інструменти:</w:t>
      </w:r>
    </w:p>
    <w:p w14:paraId="4595CA41" w14:textId="17ABFCB9" w:rsidR="00F413D8" w:rsidRPr="005D1193" w:rsidRDefault="00F413D8"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аналіз результатів перевірок, здійснених підрозділом внутрішнього аудиту та зовнішнім аудитором;</w:t>
      </w:r>
    </w:p>
    <w:p w14:paraId="1E7D049E" w14:textId="27F535F9" w:rsidR="00F413D8" w:rsidRPr="005D1193" w:rsidRDefault="00F413D8"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створення та ведення бази внутрішніх подій операційного ризику та аналіз накопиченої в ній інформації</w:t>
      </w:r>
      <w:r w:rsidR="00881722" w:rsidRPr="005D1193">
        <w:rPr>
          <w:sz w:val="24"/>
          <w:szCs w:val="24"/>
          <w:lang w:val="uk-UA"/>
        </w:rPr>
        <w:t>;</w:t>
      </w:r>
    </w:p>
    <w:p w14:paraId="3D26F58B" w14:textId="3E94C64E" w:rsidR="00F413D8" w:rsidRPr="005D1193" w:rsidRDefault="00F413D8"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ключові показники ризику (Key Risk Indicators - KRI)</w:t>
      </w:r>
      <w:r w:rsidR="00881722" w:rsidRPr="005D1193">
        <w:rPr>
          <w:sz w:val="24"/>
          <w:szCs w:val="24"/>
          <w:lang w:val="uk-UA"/>
        </w:rPr>
        <w:t>;</w:t>
      </w:r>
    </w:p>
    <w:p w14:paraId="1AA6AEAA" w14:textId="24FFA650" w:rsidR="00F413D8" w:rsidRPr="005D1193" w:rsidRDefault="00F413D8"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самооцінка операційного ризику (Risk Self Assessments)</w:t>
      </w:r>
      <w:r w:rsidR="00881722" w:rsidRPr="005D1193">
        <w:rPr>
          <w:sz w:val="24"/>
          <w:szCs w:val="24"/>
          <w:lang w:val="uk-UA"/>
        </w:rPr>
        <w:t>;</w:t>
      </w:r>
    </w:p>
    <w:p w14:paraId="07876915" w14:textId="69A37668" w:rsidR="00F413D8" w:rsidRPr="005D1193" w:rsidRDefault="00F413D8"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сценарний аналіз (Scenario Analysis).</w:t>
      </w:r>
    </w:p>
    <w:p w14:paraId="70D6FC61" w14:textId="77777777" w:rsidR="00F413D8" w:rsidRPr="005D1193" w:rsidRDefault="00F413D8" w:rsidP="000A39DA">
      <w:pPr>
        <w:pStyle w:val="afc"/>
        <w:tabs>
          <w:tab w:val="left" w:pos="993"/>
        </w:tabs>
        <w:spacing w:after="120"/>
        <w:ind w:firstLine="709"/>
        <w:jc w:val="both"/>
        <w:rPr>
          <w:sz w:val="24"/>
          <w:szCs w:val="24"/>
          <w:lang w:val="uk-UA"/>
        </w:rPr>
      </w:pPr>
      <w:r w:rsidRPr="005D1193">
        <w:rPr>
          <w:sz w:val="24"/>
          <w:szCs w:val="24"/>
          <w:lang w:val="uk-UA"/>
        </w:rPr>
        <w:t>Детальний опис інструментів та порядок їх застосування для оцінки операційного ризику наведений в Методиці вимірювання операційного ризику.</w:t>
      </w:r>
    </w:p>
    <w:p w14:paraId="029D0676" w14:textId="168703DA" w:rsidR="00F413D8" w:rsidRPr="005D1193" w:rsidRDefault="00F413D8" w:rsidP="000A39DA">
      <w:pPr>
        <w:tabs>
          <w:tab w:val="left" w:pos="709"/>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3.</w:t>
      </w:r>
      <w:r w:rsidR="00E70272" w:rsidRPr="005D1193">
        <w:rPr>
          <w:rFonts w:ascii="Times New Roman" w:eastAsia="TimesNewRoman" w:hAnsi="Times New Roman"/>
          <w:sz w:val="24"/>
          <w:szCs w:val="24"/>
          <w:lang w:eastAsia="ru-RU"/>
        </w:rPr>
        <w:t>5</w:t>
      </w:r>
      <w:r w:rsidR="000A39D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 Розрахунковий центр здійснює на регулярній основі стрес-тестування вищенаведених ризиків для різних короткострокових і довгострокових стрес-сценаріїв, що можуть реалізуватися як </w:t>
      </w:r>
      <w:r w:rsidRPr="005D1193">
        <w:rPr>
          <w:rFonts w:ascii="Times New Roman" w:eastAsia="TimesNewRoman" w:hAnsi="Times New Roman"/>
          <w:sz w:val="24"/>
          <w:szCs w:val="24"/>
          <w:lang w:eastAsia="ru-RU"/>
        </w:rPr>
        <w:lastRenderedPageBreak/>
        <w:t xml:space="preserve">для Розрахункового центру, так і для ринку в цілому, з метою виявлення причин можливих втрат внаслідок реалізації ризиків та оцінки відповідності результатів здійснення стрес-тестування встановленому рівню ризик-апетиту до окремих видів ризиків, а також загальному ризик-профілю Розрахункового центру. </w:t>
      </w:r>
    </w:p>
    <w:p w14:paraId="3A42C4CF" w14:textId="1812B448" w:rsidR="00D35EA1" w:rsidRPr="005D1193" w:rsidRDefault="00320C9B" w:rsidP="000A39DA">
      <w:pPr>
        <w:tabs>
          <w:tab w:val="left" w:pos="851"/>
          <w:tab w:val="left" w:pos="993"/>
        </w:tabs>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3</w:t>
      </w:r>
      <w:r w:rsidR="00D35EA1" w:rsidRPr="005D1193">
        <w:rPr>
          <w:rFonts w:ascii="Times New Roman" w:eastAsia="TimesNewRoman" w:hAnsi="Times New Roman"/>
          <w:sz w:val="24"/>
          <w:szCs w:val="24"/>
          <w:lang w:eastAsia="ru-RU"/>
        </w:rPr>
        <w:t>.</w:t>
      </w:r>
      <w:r w:rsidR="00E70272" w:rsidRPr="005D1193">
        <w:rPr>
          <w:rFonts w:ascii="Times New Roman" w:eastAsia="TimesNewRoman" w:hAnsi="Times New Roman"/>
          <w:sz w:val="24"/>
          <w:szCs w:val="24"/>
          <w:lang w:eastAsia="ru-RU"/>
        </w:rPr>
        <w:t>6</w:t>
      </w:r>
      <w:r w:rsidR="00D35EA1" w:rsidRPr="005D1193">
        <w:rPr>
          <w:rFonts w:ascii="Times New Roman" w:eastAsia="TimesNewRoman" w:hAnsi="Times New Roman"/>
          <w:sz w:val="24"/>
          <w:szCs w:val="24"/>
          <w:lang w:eastAsia="ru-RU"/>
        </w:rPr>
        <w:t>. Для вимірювання та оцінки ризиків Розрахункового центру використовується коефіцієнт покриття зобов</w:t>
      </w:r>
      <w:r w:rsidR="005F41FA" w:rsidRPr="005D1193">
        <w:rPr>
          <w:rFonts w:ascii="Times New Roman" w:eastAsia="TimesNewRoman" w:hAnsi="Times New Roman"/>
          <w:sz w:val="24"/>
          <w:szCs w:val="24"/>
          <w:lang w:eastAsia="ru-RU"/>
        </w:rPr>
        <w:t>’</w:t>
      </w:r>
      <w:r w:rsidR="00D35EA1" w:rsidRPr="005D1193">
        <w:rPr>
          <w:rFonts w:ascii="Times New Roman" w:eastAsia="TimesNewRoman" w:hAnsi="Times New Roman"/>
          <w:sz w:val="24"/>
          <w:szCs w:val="24"/>
          <w:lang w:eastAsia="ru-RU"/>
        </w:rPr>
        <w:t>язань учасників клірингу, який є показником для оцінки здатності Розрахункового центру, забезпечити виконання зобов</w:t>
      </w:r>
      <w:r w:rsidR="005F41FA" w:rsidRPr="005D1193">
        <w:rPr>
          <w:rFonts w:ascii="Times New Roman" w:eastAsia="TimesNewRoman" w:hAnsi="Times New Roman"/>
          <w:sz w:val="24"/>
          <w:szCs w:val="24"/>
          <w:lang w:eastAsia="ru-RU"/>
        </w:rPr>
        <w:t>’</w:t>
      </w:r>
      <w:r w:rsidR="00D35EA1" w:rsidRPr="005D1193">
        <w:rPr>
          <w:rFonts w:ascii="Times New Roman" w:eastAsia="TimesNewRoman" w:hAnsi="Times New Roman"/>
          <w:sz w:val="24"/>
          <w:szCs w:val="24"/>
          <w:lang w:eastAsia="ru-RU"/>
        </w:rPr>
        <w:t>язань учасників клірингу за договорами щодо цінних паперів.</w:t>
      </w:r>
    </w:p>
    <w:p w14:paraId="2E850E65" w14:textId="209AF08C" w:rsidR="00D35EA1" w:rsidRPr="005D1193" w:rsidRDefault="00D35EA1" w:rsidP="000A39DA">
      <w:pPr>
        <w:tabs>
          <w:tab w:val="left" w:pos="851"/>
          <w:tab w:val="left" w:pos="993"/>
        </w:tabs>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Коефіцієнт покриття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язань учасників клірингу розраховується відповідно до вимог Положення щодо пруденційних нормативів професійної діяльності на фондовому ринку та вимог до системи управління ризиками, затвердженого рішенням</w:t>
      </w:r>
      <w:r w:rsidRPr="005D1193">
        <w:rPr>
          <w:rFonts w:ascii="Times New Roman" w:hAnsi="Times New Roman"/>
          <w:sz w:val="24"/>
          <w:szCs w:val="24"/>
        </w:rPr>
        <w:t xml:space="preserve"> Національної комісії з цінних паперів та фондового ринку від 01.10.2015 №1597</w:t>
      </w:r>
      <w:r w:rsidRPr="005D1193">
        <w:rPr>
          <w:rFonts w:ascii="Times New Roman" w:eastAsia="TimesNewRoman" w:hAnsi="Times New Roman"/>
          <w:sz w:val="24"/>
          <w:szCs w:val="24"/>
          <w:lang w:eastAsia="ru-RU"/>
        </w:rPr>
        <w:t xml:space="preserve">. </w:t>
      </w:r>
    </w:p>
    <w:p w14:paraId="5D4E64F9" w14:textId="77777777" w:rsidR="000F63F3" w:rsidRPr="005D1193" w:rsidRDefault="000F63F3" w:rsidP="000A39DA">
      <w:pPr>
        <w:tabs>
          <w:tab w:val="left" w:pos="851"/>
          <w:tab w:val="left" w:pos="993"/>
        </w:tabs>
        <w:spacing w:after="120" w:line="240" w:lineRule="auto"/>
        <w:ind w:firstLine="709"/>
        <w:jc w:val="both"/>
        <w:rPr>
          <w:rFonts w:ascii="Times New Roman" w:eastAsia="TimesNewRoman" w:hAnsi="Times New Roman"/>
          <w:sz w:val="24"/>
          <w:szCs w:val="24"/>
          <w:lang w:eastAsia="ru-RU"/>
        </w:rPr>
      </w:pPr>
    </w:p>
    <w:p w14:paraId="1268FE3A" w14:textId="77777777" w:rsidR="00AD66AE" w:rsidRPr="005D1193" w:rsidRDefault="00D35EA1" w:rsidP="00947CE3">
      <w:pPr>
        <w:tabs>
          <w:tab w:val="left" w:pos="851"/>
          <w:tab w:val="left" w:pos="993"/>
        </w:tabs>
        <w:spacing w:after="120" w:line="240" w:lineRule="auto"/>
        <w:jc w:val="center"/>
        <w:rPr>
          <w:rFonts w:ascii="Times New Roman" w:hAnsi="Times New Roman"/>
          <w:b/>
          <w:sz w:val="24"/>
          <w:szCs w:val="24"/>
        </w:rPr>
      </w:pPr>
      <w:r w:rsidRPr="005D1193">
        <w:rPr>
          <w:rFonts w:ascii="Times New Roman" w:hAnsi="Times New Roman"/>
          <w:b/>
          <w:sz w:val="24"/>
          <w:szCs w:val="24"/>
        </w:rPr>
        <w:t>4</w:t>
      </w:r>
      <w:r w:rsidR="00AD66AE" w:rsidRPr="005D1193">
        <w:rPr>
          <w:rFonts w:ascii="Times New Roman" w:hAnsi="Times New Roman"/>
          <w:b/>
          <w:sz w:val="24"/>
          <w:szCs w:val="24"/>
        </w:rPr>
        <w:t xml:space="preserve">. Опис моделі </w:t>
      </w:r>
      <w:r w:rsidR="00A47EEB" w:rsidRPr="005D1193">
        <w:rPr>
          <w:rFonts w:ascii="Times New Roman" w:hAnsi="Times New Roman"/>
          <w:b/>
          <w:sz w:val="24"/>
          <w:szCs w:val="24"/>
        </w:rPr>
        <w:t>управління ризиками</w:t>
      </w:r>
    </w:p>
    <w:p w14:paraId="60EDB6FC" w14:textId="730ADBC9" w:rsidR="00AD66AE" w:rsidRPr="005D1193" w:rsidRDefault="00320C9B"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4</w:t>
      </w:r>
      <w:r w:rsidR="00AD66AE" w:rsidRPr="005D1193">
        <w:rPr>
          <w:rFonts w:ascii="Times New Roman" w:hAnsi="Times New Roman"/>
          <w:sz w:val="24"/>
          <w:szCs w:val="24"/>
        </w:rPr>
        <w:t xml:space="preserve">.1. Моделі управління ризиками </w:t>
      </w:r>
      <w:r w:rsidR="005862B7" w:rsidRPr="005D1193">
        <w:rPr>
          <w:rFonts w:ascii="Times New Roman" w:hAnsi="Times New Roman"/>
          <w:sz w:val="24"/>
          <w:szCs w:val="24"/>
        </w:rPr>
        <w:t>Розрахункового центру</w:t>
      </w:r>
      <w:r w:rsidR="00AD66AE" w:rsidRPr="005D1193">
        <w:rPr>
          <w:rFonts w:ascii="Times New Roman" w:hAnsi="Times New Roman"/>
          <w:sz w:val="24"/>
          <w:szCs w:val="24"/>
        </w:rPr>
        <w:t xml:space="preserve"> розроблені для зменшення різноманітних наслідків сценаріїв невиконання зобов</w:t>
      </w:r>
      <w:r w:rsidR="005F41FA" w:rsidRPr="005D1193">
        <w:rPr>
          <w:rFonts w:ascii="Times New Roman" w:hAnsi="Times New Roman"/>
          <w:sz w:val="24"/>
          <w:szCs w:val="24"/>
        </w:rPr>
        <w:t>’</w:t>
      </w:r>
      <w:r w:rsidR="00AD66AE" w:rsidRPr="005D1193">
        <w:rPr>
          <w:rFonts w:ascii="Times New Roman" w:hAnsi="Times New Roman"/>
          <w:sz w:val="24"/>
          <w:szCs w:val="24"/>
        </w:rPr>
        <w:t xml:space="preserve">язань учасниками клірингу при набутті Розрахунковим центром статусу </w:t>
      </w:r>
      <w:r w:rsidR="00846E2F" w:rsidRPr="005D1193">
        <w:rPr>
          <w:rFonts w:ascii="Times New Roman" w:hAnsi="Times New Roman"/>
          <w:sz w:val="24"/>
          <w:szCs w:val="24"/>
        </w:rPr>
        <w:t>ц</w:t>
      </w:r>
      <w:r w:rsidR="00AD66AE" w:rsidRPr="005D1193">
        <w:rPr>
          <w:rFonts w:ascii="Times New Roman" w:hAnsi="Times New Roman"/>
          <w:sz w:val="24"/>
          <w:szCs w:val="24"/>
        </w:rPr>
        <w:t xml:space="preserve">ентрального контрагента за </w:t>
      </w:r>
      <w:r w:rsidR="005862B7" w:rsidRPr="005D1193">
        <w:rPr>
          <w:rFonts w:ascii="Times New Roman" w:hAnsi="Times New Roman"/>
          <w:sz w:val="24"/>
          <w:szCs w:val="24"/>
        </w:rPr>
        <w:t xml:space="preserve">правочинами щодо цінних паперів, які укладені на фондових біржах (далі – </w:t>
      </w:r>
      <w:r w:rsidR="00AD66AE" w:rsidRPr="005D1193">
        <w:rPr>
          <w:rFonts w:ascii="Times New Roman" w:hAnsi="Times New Roman"/>
          <w:sz w:val="24"/>
          <w:szCs w:val="24"/>
        </w:rPr>
        <w:t>біржов</w:t>
      </w:r>
      <w:r w:rsidR="005862B7" w:rsidRPr="005D1193">
        <w:rPr>
          <w:rFonts w:ascii="Times New Roman" w:hAnsi="Times New Roman"/>
          <w:sz w:val="24"/>
          <w:szCs w:val="24"/>
        </w:rPr>
        <w:t>і</w:t>
      </w:r>
      <w:r w:rsidR="00AD66AE" w:rsidRPr="005D1193">
        <w:rPr>
          <w:rFonts w:ascii="Times New Roman" w:hAnsi="Times New Roman"/>
          <w:sz w:val="24"/>
          <w:szCs w:val="24"/>
        </w:rPr>
        <w:t xml:space="preserve"> правочин</w:t>
      </w:r>
      <w:r w:rsidR="005862B7" w:rsidRPr="005D1193">
        <w:rPr>
          <w:rFonts w:ascii="Times New Roman" w:hAnsi="Times New Roman"/>
          <w:sz w:val="24"/>
          <w:szCs w:val="24"/>
        </w:rPr>
        <w:t>и).</w:t>
      </w:r>
    </w:p>
    <w:p w14:paraId="1A91B911" w14:textId="77777777" w:rsidR="00AD66AE" w:rsidRPr="005D1193" w:rsidRDefault="00320C9B"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4</w:t>
      </w:r>
      <w:r w:rsidR="00AD66AE" w:rsidRPr="005D1193">
        <w:rPr>
          <w:rFonts w:ascii="Times New Roman" w:hAnsi="Times New Roman"/>
          <w:sz w:val="24"/>
          <w:szCs w:val="24"/>
        </w:rPr>
        <w:t>.2. Розрахунковий центр забезпечує підтримання двох базових модел</w:t>
      </w:r>
      <w:r w:rsidR="005862B7" w:rsidRPr="005D1193">
        <w:rPr>
          <w:rFonts w:ascii="Times New Roman" w:hAnsi="Times New Roman"/>
          <w:sz w:val="24"/>
          <w:szCs w:val="24"/>
        </w:rPr>
        <w:t>ей</w:t>
      </w:r>
      <w:r w:rsidR="00AD66AE" w:rsidRPr="005D1193">
        <w:rPr>
          <w:rFonts w:ascii="Times New Roman" w:hAnsi="Times New Roman"/>
          <w:sz w:val="24"/>
          <w:szCs w:val="24"/>
        </w:rPr>
        <w:t xml:space="preserve"> управління ризиками</w:t>
      </w:r>
      <w:r w:rsidR="00024D91" w:rsidRPr="005D1193">
        <w:rPr>
          <w:rFonts w:ascii="Times New Roman" w:hAnsi="Times New Roman"/>
          <w:sz w:val="24"/>
          <w:szCs w:val="24"/>
        </w:rPr>
        <w:t>:</w:t>
      </w:r>
    </w:p>
    <w:p w14:paraId="63757AA5" w14:textId="1A528C1E" w:rsidR="00AD66AE" w:rsidRPr="005D1193" w:rsidRDefault="00320C9B"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4</w:t>
      </w:r>
      <w:r w:rsidR="00AD66AE" w:rsidRPr="005D1193">
        <w:rPr>
          <w:rFonts w:ascii="Times New Roman" w:hAnsi="Times New Roman"/>
          <w:sz w:val="24"/>
          <w:szCs w:val="24"/>
        </w:rPr>
        <w:t xml:space="preserve">.2.1. </w:t>
      </w:r>
      <w:r w:rsidR="007534C8" w:rsidRPr="005D1193">
        <w:rPr>
          <w:rFonts w:ascii="Times New Roman" w:hAnsi="Times New Roman"/>
          <w:sz w:val="24"/>
          <w:szCs w:val="24"/>
        </w:rPr>
        <w:t xml:space="preserve">Перша модель: </w:t>
      </w:r>
      <w:r w:rsidR="00AD66AE" w:rsidRPr="005D1193">
        <w:rPr>
          <w:rFonts w:ascii="Times New Roman" w:hAnsi="Times New Roman"/>
          <w:sz w:val="24"/>
          <w:szCs w:val="24"/>
        </w:rPr>
        <w:t>Модель прийняття зобов</w:t>
      </w:r>
      <w:r w:rsidR="005F41FA" w:rsidRPr="005D1193">
        <w:rPr>
          <w:rFonts w:ascii="Times New Roman" w:hAnsi="Times New Roman"/>
          <w:sz w:val="24"/>
          <w:szCs w:val="24"/>
        </w:rPr>
        <w:t>’</w:t>
      </w:r>
      <w:r w:rsidR="00AD66AE" w:rsidRPr="005D1193">
        <w:rPr>
          <w:rFonts w:ascii="Times New Roman" w:hAnsi="Times New Roman"/>
          <w:sz w:val="24"/>
          <w:szCs w:val="24"/>
        </w:rPr>
        <w:t xml:space="preserve">язань Розрахунковим центром з виконання біржового правочину за умови </w:t>
      </w:r>
      <w:r w:rsidR="00024D91" w:rsidRPr="005D1193">
        <w:rPr>
          <w:rFonts w:ascii="Times New Roman" w:hAnsi="Times New Roman"/>
          <w:sz w:val="24"/>
          <w:szCs w:val="24"/>
        </w:rPr>
        <w:t xml:space="preserve">стовідсоткового </w:t>
      </w:r>
      <w:r w:rsidR="00AD66AE" w:rsidRPr="005D1193">
        <w:rPr>
          <w:rFonts w:ascii="Times New Roman" w:hAnsi="Times New Roman"/>
          <w:sz w:val="24"/>
          <w:szCs w:val="24"/>
        </w:rPr>
        <w:t xml:space="preserve">попереднього </w:t>
      </w:r>
      <w:r w:rsidR="00234F91" w:rsidRPr="005D1193">
        <w:rPr>
          <w:rFonts w:ascii="Times New Roman" w:hAnsi="Times New Roman"/>
          <w:sz w:val="24"/>
          <w:szCs w:val="24"/>
        </w:rPr>
        <w:t xml:space="preserve">депонування та </w:t>
      </w:r>
      <w:r w:rsidR="005862B7" w:rsidRPr="005D1193">
        <w:rPr>
          <w:rFonts w:ascii="Times New Roman" w:hAnsi="Times New Roman"/>
          <w:sz w:val="24"/>
          <w:szCs w:val="24"/>
        </w:rPr>
        <w:t>резервування коштів та цінних паперів</w:t>
      </w:r>
      <w:r w:rsidR="00AD66AE" w:rsidRPr="005D1193">
        <w:rPr>
          <w:rFonts w:ascii="Times New Roman" w:hAnsi="Times New Roman"/>
          <w:sz w:val="24"/>
          <w:szCs w:val="24"/>
        </w:rPr>
        <w:t xml:space="preserve">, що підтверджує наявність та можливість розпорядження </w:t>
      </w:r>
      <w:r w:rsidR="000E7F2E" w:rsidRPr="005D1193">
        <w:rPr>
          <w:rFonts w:ascii="Times New Roman" w:hAnsi="Times New Roman"/>
          <w:sz w:val="24"/>
          <w:szCs w:val="24"/>
        </w:rPr>
        <w:t xml:space="preserve">Розрахунковим центром всім обсягом </w:t>
      </w:r>
      <w:r w:rsidR="00AD66AE" w:rsidRPr="005D1193">
        <w:rPr>
          <w:rFonts w:ascii="Times New Roman" w:hAnsi="Times New Roman"/>
          <w:sz w:val="24"/>
          <w:szCs w:val="24"/>
        </w:rPr>
        <w:t>актив</w:t>
      </w:r>
      <w:r w:rsidR="000E7F2E" w:rsidRPr="005D1193">
        <w:rPr>
          <w:rFonts w:ascii="Times New Roman" w:hAnsi="Times New Roman"/>
          <w:sz w:val="24"/>
          <w:szCs w:val="24"/>
        </w:rPr>
        <w:t>ів</w:t>
      </w:r>
      <w:r w:rsidR="00024D91" w:rsidRPr="005D1193">
        <w:rPr>
          <w:rFonts w:ascii="Times New Roman" w:hAnsi="Times New Roman"/>
          <w:sz w:val="24"/>
          <w:szCs w:val="24"/>
        </w:rPr>
        <w:t>, що визначен</w:t>
      </w:r>
      <w:r w:rsidR="000E7F2E" w:rsidRPr="005D1193">
        <w:rPr>
          <w:rFonts w:ascii="Times New Roman" w:hAnsi="Times New Roman"/>
          <w:sz w:val="24"/>
          <w:szCs w:val="24"/>
        </w:rPr>
        <w:t>і</w:t>
      </w:r>
      <w:r w:rsidR="00024D91" w:rsidRPr="005D1193">
        <w:rPr>
          <w:rFonts w:ascii="Times New Roman" w:hAnsi="Times New Roman"/>
          <w:sz w:val="24"/>
          <w:szCs w:val="24"/>
        </w:rPr>
        <w:t xml:space="preserve"> у </w:t>
      </w:r>
      <w:r w:rsidR="005862B7" w:rsidRPr="005D1193">
        <w:rPr>
          <w:rFonts w:ascii="Times New Roman" w:hAnsi="Times New Roman"/>
          <w:sz w:val="24"/>
          <w:szCs w:val="24"/>
        </w:rPr>
        <w:t xml:space="preserve">біржовому </w:t>
      </w:r>
      <w:r w:rsidR="00024D91" w:rsidRPr="005D1193">
        <w:rPr>
          <w:rFonts w:ascii="Times New Roman" w:hAnsi="Times New Roman"/>
          <w:sz w:val="24"/>
          <w:szCs w:val="24"/>
        </w:rPr>
        <w:t>правочині</w:t>
      </w:r>
      <w:r w:rsidR="005862B7" w:rsidRPr="005D1193">
        <w:rPr>
          <w:rFonts w:ascii="Times New Roman" w:hAnsi="Times New Roman"/>
          <w:sz w:val="24"/>
          <w:szCs w:val="24"/>
        </w:rPr>
        <w:t>,</w:t>
      </w:r>
      <w:r w:rsidR="006C0AC8" w:rsidRPr="005D1193">
        <w:rPr>
          <w:rFonts w:ascii="Times New Roman" w:hAnsi="Times New Roman"/>
          <w:sz w:val="24"/>
          <w:szCs w:val="24"/>
        </w:rPr>
        <w:t xml:space="preserve"> для припинення всіх обов</w:t>
      </w:r>
      <w:r w:rsidR="005F41FA" w:rsidRPr="005D1193">
        <w:rPr>
          <w:rFonts w:ascii="Times New Roman" w:hAnsi="Times New Roman"/>
          <w:sz w:val="24"/>
          <w:szCs w:val="24"/>
        </w:rPr>
        <w:t>’</w:t>
      </w:r>
      <w:r w:rsidR="006C0AC8" w:rsidRPr="005D1193">
        <w:rPr>
          <w:rFonts w:ascii="Times New Roman" w:hAnsi="Times New Roman"/>
          <w:sz w:val="24"/>
          <w:szCs w:val="24"/>
        </w:rPr>
        <w:t xml:space="preserve">язків Розрахункового центру як </w:t>
      </w:r>
      <w:r w:rsidR="00846E2F" w:rsidRPr="005D1193">
        <w:rPr>
          <w:rFonts w:ascii="Times New Roman" w:hAnsi="Times New Roman"/>
          <w:sz w:val="24"/>
          <w:szCs w:val="24"/>
        </w:rPr>
        <w:t>ц</w:t>
      </w:r>
      <w:r w:rsidR="006C0AC8" w:rsidRPr="005D1193">
        <w:rPr>
          <w:rFonts w:ascii="Times New Roman" w:hAnsi="Times New Roman"/>
          <w:sz w:val="24"/>
          <w:szCs w:val="24"/>
        </w:rPr>
        <w:t>ентрального контрагент</w:t>
      </w:r>
      <w:r w:rsidR="005862B7" w:rsidRPr="005D1193">
        <w:rPr>
          <w:rFonts w:ascii="Times New Roman" w:hAnsi="Times New Roman"/>
          <w:sz w:val="24"/>
          <w:szCs w:val="24"/>
        </w:rPr>
        <w:t>а</w:t>
      </w:r>
      <w:r w:rsidR="006C0AC8" w:rsidRPr="005D1193">
        <w:rPr>
          <w:rFonts w:ascii="Times New Roman" w:hAnsi="Times New Roman"/>
          <w:sz w:val="24"/>
          <w:szCs w:val="24"/>
        </w:rPr>
        <w:t xml:space="preserve"> за біржовими правочинами</w:t>
      </w:r>
      <w:r w:rsidR="00AD66AE" w:rsidRPr="005D1193">
        <w:rPr>
          <w:rFonts w:ascii="Times New Roman" w:hAnsi="Times New Roman"/>
          <w:sz w:val="24"/>
          <w:szCs w:val="24"/>
        </w:rPr>
        <w:t>.</w:t>
      </w:r>
    </w:p>
    <w:p w14:paraId="413FD7EE" w14:textId="6DFEDC7D" w:rsidR="00DE566F" w:rsidRPr="005D1193" w:rsidRDefault="00320C9B"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4</w:t>
      </w:r>
      <w:r w:rsidR="00AD66AE" w:rsidRPr="005D1193">
        <w:rPr>
          <w:rFonts w:ascii="Times New Roman" w:hAnsi="Times New Roman"/>
          <w:sz w:val="24"/>
          <w:szCs w:val="24"/>
        </w:rPr>
        <w:t xml:space="preserve">.2.2. </w:t>
      </w:r>
      <w:r w:rsidR="00165AA0" w:rsidRPr="005D1193">
        <w:rPr>
          <w:rFonts w:ascii="Times New Roman" w:hAnsi="Times New Roman"/>
          <w:sz w:val="24"/>
          <w:szCs w:val="24"/>
        </w:rPr>
        <w:t>Друга модель: Модель прийняття Розрахунковим центром зобов</w:t>
      </w:r>
      <w:r w:rsidR="005F41FA" w:rsidRPr="005D1193">
        <w:rPr>
          <w:rFonts w:ascii="Times New Roman" w:hAnsi="Times New Roman"/>
          <w:sz w:val="24"/>
          <w:szCs w:val="24"/>
        </w:rPr>
        <w:t>’</w:t>
      </w:r>
      <w:r w:rsidR="00165AA0" w:rsidRPr="005D1193">
        <w:rPr>
          <w:rFonts w:ascii="Times New Roman" w:hAnsi="Times New Roman"/>
          <w:sz w:val="24"/>
          <w:szCs w:val="24"/>
        </w:rPr>
        <w:t xml:space="preserve">язань за договорами РЕПО в режимі </w:t>
      </w:r>
      <w:r w:rsidR="00F43030" w:rsidRPr="005D1193">
        <w:rPr>
          <w:rFonts w:ascii="Times New Roman" w:hAnsi="Times New Roman"/>
          <w:sz w:val="24"/>
          <w:szCs w:val="24"/>
        </w:rPr>
        <w:t>«</w:t>
      </w:r>
      <w:r w:rsidR="00165AA0" w:rsidRPr="005D1193">
        <w:rPr>
          <w:rFonts w:ascii="Times New Roman" w:hAnsi="Times New Roman"/>
          <w:sz w:val="24"/>
          <w:szCs w:val="24"/>
        </w:rPr>
        <w:t>РЕПО з контролем ризиків</w:t>
      </w:r>
      <w:r w:rsidR="00F43030" w:rsidRPr="005D1193">
        <w:rPr>
          <w:rFonts w:ascii="Times New Roman" w:hAnsi="Times New Roman"/>
          <w:sz w:val="24"/>
          <w:szCs w:val="24"/>
        </w:rPr>
        <w:t>»</w:t>
      </w:r>
      <w:r w:rsidR="00165AA0" w:rsidRPr="005D1193">
        <w:rPr>
          <w:rFonts w:ascii="Times New Roman" w:hAnsi="Times New Roman"/>
          <w:sz w:val="24"/>
          <w:szCs w:val="24"/>
        </w:rPr>
        <w:t xml:space="preserve"> за умови попереднього </w:t>
      </w:r>
      <w:r w:rsidR="00234F91" w:rsidRPr="005D1193">
        <w:rPr>
          <w:rFonts w:ascii="Times New Roman" w:hAnsi="Times New Roman"/>
          <w:sz w:val="24"/>
          <w:szCs w:val="24"/>
        </w:rPr>
        <w:t xml:space="preserve">депонування та </w:t>
      </w:r>
      <w:r w:rsidR="00165AA0" w:rsidRPr="005D1193">
        <w:rPr>
          <w:rFonts w:ascii="Times New Roman" w:hAnsi="Times New Roman"/>
          <w:sz w:val="24"/>
          <w:szCs w:val="24"/>
        </w:rPr>
        <w:t>резервування учасниками клірингу гарантійного забезпечення у вигляді коштів та/або цінних паперів в розмірі, що забезпечує належний рівень стимулювання учасників клірингу до виконання ними своїх зобов</w:t>
      </w:r>
      <w:r w:rsidR="005F41FA" w:rsidRPr="005D1193">
        <w:rPr>
          <w:rFonts w:ascii="Times New Roman" w:hAnsi="Times New Roman"/>
          <w:sz w:val="24"/>
          <w:szCs w:val="24"/>
        </w:rPr>
        <w:t>’</w:t>
      </w:r>
      <w:r w:rsidR="00165AA0" w:rsidRPr="005D1193">
        <w:rPr>
          <w:rFonts w:ascii="Times New Roman" w:hAnsi="Times New Roman"/>
          <w:sz w:val="24"/>
          <w:szCs w:val="24"/>
        </w:rPr>
        <w:t xml:space="preserve">язань. </w:t>
      </w:r>
      <w:r w:rsidR="004631E7" w:rsidRPr="005D1193">
        <w:rPr>
          <w:rFonts w:ascii="Times New Roman" w:hAnsi="Times New Roman"/>
          <w:sz w:val="24"/>
          <w:szCs w:val="24"/>
        </w:rPr>
        <w:t xml:space="preserve">Розрахунковий центр як центральний контрагент </w:t>
      </w:r>
      <w:r w:rsidR="003566D1" w:rsidRPr="005D1193">
        <w:rPr>
          <w:rFonts w:ascii="Times New Roman" w:hAnsi="Times New Roman"/>
          <w:sz w:val="24"/>
          <w:szCs w:val="24"/>
        </w:rPr>
        <w:t>приймає зобов</w:t>
      </w:r>
      <w:r w:rsidR="005F41FA" w:rsidRPr="005D1193">
        <w:rPr>
          <w:rFonts w:ascii="Times New Roman" w:hAnsi="Times New Roman"/>
          <w:sz w:val="24"/>
          <w:szCs w:val="24"/>
        </w:rPr>
        <w:t>’</w:t>
      </w:r>
      <w:r w:rsidR="003566D1" w:rsidRPr="005D1193">
        <w:rPr>
          <w:rFonts w:ascii="Times New Roman" w:hAnsi="Times New Roman"/>
          <w:sz w:val="24"/>
          <w:szCs w:val="24"/>
        </w:rPr>
        <w:t xml:space="preserve">язання з </w:t>
      </w:r>
      <w:r w:rsidR="004631E7" w:rsidRPr="005D1193">
        <w:rPr>
          <w:rFonts w:ascii="Times New Roman" w:hAnsi="Times New Roman"/>
          <w:sz w:val="24"/>
          <w:szCs w:val="24"/>
        </w:rPr>
        <w:t>викон</w:t>
      </w:r>
      <w:r w:rsidR="003566D1" w:rsidRPr="005D1193">
        <w:rPr>
          <w:rFonts w:ascii="Times New Roman" w:hAnsi="Times New Roman"/>
          <w:sz w:val="24"/>
          <w:szCs w:val="24"/>
        </w:rPr>
        <w:t xml:space="preserve">ання </w:t>
      </w:r>
      <w:r w:rsidR="004631E7" w:rsidRPr="005D1193">
        <w:rPr>
          <w:rFonts w:ascii="Times New Roman" w:hAnsi="Times New Roman"/>
          <w:sz w:val="24"/>
          <w:szCs w:val="24"/>
        </w:rPr>
        <w:t xml:space="preserve">договору РЕПО виключно в разі </w:t>
      </w:r>
      <w:r w:rsidR="003566D1" w:rsidRPr="005D1193">
        <w:rPr>
          <w:rFonts w:ascii="Times New Roman" w:hAnsi="Times New Roman"/>
          <w:sz w:val="24"/>
          <w:szCs w:val="24"/>
        </w:rPr>
        <w:t xml:space="preserve">повного </w:t>
      </w:r>
      <w:r w:rsidR="004631E7" w:rsidRPr="005D1193">
        <w:rPr>
          <w:rFonts w:ascii="Times New Roman" w:hAnsi="Times New Roman"/>
          <w:sz w:val="24"/>
          <w:szCs w:val="24"/>
        </w:rPr>
        <w:t>виконання</w:t>
      </w:r>
      <w:r w:rsidR="008379D2" w:rsidRPr="005D1193">
        <w:rPr>
          <w:rFonts w:ascii="Times New Roman" w:hAnsi="Times New Roman"/>
          <w:sz w:val="24"/>
          <w:szCs w:val="24"/>
        </w:rPr>
        <w:t xml:space="preserve"> учасником клірингу, який є </w:t>
      </w:r>
      <w:r w:rsidR="004631E7" w:rsidRPr="005D1193">
        <w:rPr>
          <w:rFonts w:ascii="Times New Roman" w:hAnsi="Times New Roman"/>
          <w:sz w:val="24"/>
          <w:szCs w:val="24"/>
        </w:rPr>
        <w:t xml:space="preserve">стороною договору </w:t>
      </w:r>
      <w:r w:rsidR="003566D1" w:rsidRPr="005D1193">
        <w:rPr>
          <w:rFonts w:ascii="Times New Roman" w:hAnsi="Times New Roman"/>
          <w:sz w:val="24"/>
          <w:szCs w:val="24"/>
        </w:rPr>
        <w:t>РЕПО</w:t>
      </w:r>
      <w:r w:rsidR="00BA2308" w:rsidRPr="005D1193">
        <w:rPr>
          <w:rFonts w:ascii="Times New Roman" w:hAnsi="Times New Roman"/>
          <w:sz w:val="24"/>
          <w:szCs w:val="24"/>
        </w:rPr>
        <w:t>,</w:t>
      </w:r>
      <w:r w:rsidR="003566D1" w:rsidRPr="005D1193">
        <w:rPr>
          <w:rFonts w:ascii="Times New Roman" w:hAnsi="Times New Roman"/>
          <w:sz w:val="24"/>
          <w:szCs w:val="24"/>
        </w:rPr>
        <w:t xml:space="preserve"> своїх зобов</w:t>
      </w:r>
      <w:r w:rsidR="005F41FA" w:rsidRPr="005D1193">
        <w:rPr>
          <w:rFonts w:ascii="Times New Roman" w:hAnsi="Times New Roman"/>
          <w:sz w:val="24"/>
          <w:szCs w:val="24"/>
        </w:rPr>
        <w:t>’</w:t>
      </w:r>
      <w:r w:rsidR="003566D1" w:rsidRPr="005D1193">
        <w:rPr>
          <w:rFonts w:ascii="Times New Roman" w:hAnsi="Times New Roman"/>
          <w:sz w:val="24"/>
          <w:szCs w:val="24"/>
        </w:rPr>
        <w:t xml:space="preserve">язань за договором РЕПО. В разі </w:t>
      </w:r>
      <w:r w:rsidR="00D52F1A" w:rsidRPr="005D1193">
        <w:rPr>
          <w:rFonts w:ascii="Times New Roman" w:hAnsi="Times New Roman"/>
          <w:sz w:val="24"/>
          <w:szCs w:val="24"/>
        </w:rPr>
        <w:t xml:space="preserve">невиконання </w:t>
      </w:r>
      <w:r w:rsidR="008379D2" w:rsidRPr="005D1193">
        <w:rPr>
          <w:rFonts w:ascii="Times New Roman" w:hAnsi="Times New Roman"/>
          <w:sz w:val="24"/>
          <w:szCs w:val="24"/>
        </w:rPr>
        <w:t xml:space="preserve">учасником клірингу, який є </w:t>
      </w:r>
      <w:r w:rsidR="00D52F1A" w:rsidRPr="005D1193">
        <w:rPr>
          <w:rFonts w:ascii="Times New Roman" w:hAnsi="Times New Roman"/>
          <w:sz w:val="24"/>
          <w:szCs w:val="24"/>
        </w:rPr>
        <w:t>стороною договору РЕПО</w:t>
      </w:r>
      <w:r w:rsidR="00BA2308" w:rsidRPr="005D1193">
        <w:rPr>
          <w:rFonts w:ascii="Times New Roman" w:hAnsi="Times New Roman"/>
          <w:sz w:val="24"/>
          <w:szCs w:val="24"/>
        </w:rPr>
        <w:t>,</w:t>
      </w:r>
      <w:r w:rsidR="00D52F1A" w:rsidRPr="005D1193">
        <w:rPr>
          <w:rFonts w:ascii="Times New Roman" w:hAnsi="Times New Roman"/>
          <w:sz w:val="24"/>
          <w:szCs w:val="24"/>
        </w:rPr>
        <w:t xml:space="preserve"> своїх зобов</w:t>
      </w:r>
      <w:r w:rsidR="005F41FA" w:rsidRPr="005D1193">
        <w:rPr>
          <w:rFonts w:ascii="Times New Roman" w:hAnsi="Times New Roman"/>
          <w:sz w:val="24"/>
          <w:szCs w:val="24"/>
        </w:rPr>
        <w:t>’</w:t>
      </w:r>
      <w:r w:rsidR="00D52F1A" w:rsidRPr="005D1193">
        <w:rPr>
          <w:rFonts w:ascii="Times New Roman" w:hAnsi="Times New Roman"/>
          <w:sz w:val="24"/>
          <w:szCs w:val="24"/>
        </w:rPr>
        <w:t>язань за договором РЕПО</w:t>
      </w:r>
      <w:r w:rsidR="00165AA0" w:rsidRPr="005D1193">
        <w:rPr>
          <w:rFonts w:ascii="Times New Roman" w:hAnsi="Times New Roman"/>
          <w:sz w:val="24"/>
          <w:szCs w:val="24"/>
        </w:rPr>
        <w:t xml:space="preserve"> або </w:t>
      </w:r>
      <w:r w:rsidR="00D52F1A" w:rsidRPr="005D1193">
        <w:rPr>
          <w:rFonts w:ascii="Times New Roman" w:hAnsi="Times New Roman"/>
          <w:sz w:val="24"/>
          <w:szCs w:val="24"/>
        </w:rPr>
        <w:t>маржинальної вимоги або</w:t>
      </w:r>
      <w:r w:rsidR="005C20BA" w:rsidRPr="005D1193">
        <w:rPr>
          <w:rFonts w:ascii="Times New Roman" w:hAnsi="Times New Roman"/>
          <w:sz w:val="24"/>
          <w:szCs w:val="24"/>
        </w:rPr>
        <w:t xml:space="preserve"> у випадку неплатосп</w:t>
      </w:r>
      <w:r w:rsidR="001F1398">
        <w:rPr>
          <w:rFonts w:ascii="Times New Roman" w:hAnsi="Times New Roman"/>
          <w:sz w:val="24"/>
          <w:szCs w:val="24"/>
        </w:rPr>
        <w:t>р</w:t>
      </w:r>
      <w:r w:rsidR="005C20BA" w:rsidRPr="005D1193">
        <w:rPr>
          <w:rFonts w:ascii="Times New Roman" w:hAnsi="Times New Roman"/>
          <w:sz w:val="24"/>
          <w:szCs w:val="24"/>
        </w:rPr>
        <w:t>оможності</w:t>
      </w:r>
      <w:r w:rsidR="00614005" w:rsidRPr="005D1193">
        <w:rPr>
          <w:rFonts w:ascii="Times New Roman" w:hAnsi="Times New Roman"/>
          <w:sz w:val="24"/>
          <w:szCs w:val="24"/>
        </w:rPr>
        <w:t xml:space="preserve"> такого учасника клірингу</w:t>
      </w:r>
      <w:r w:rsidR="00822AA4">
        <w:rPr>
          <w:rFonts w:ascii="Times New Roman" w:hAnsi="Times New Roman"/>
          <w:sz w:val="24"/>
          <w:szCs w:val="24"/>
        </w:rPr>
        <w:t xml:space="preserve"> / клієнта учасника клірингу</w:t>
      </w:r>
      <w:r w:rsidR="00165AA0" w:rsidRPr="005D1193">
        <w:rPr>
          <w:rFonts w:ascii="Times New Roman" w:hAnsi="Times New Roman"/>
          <w:sz w:val="24"/>
          <w:szCs w:val="24"/>
        </w:rPr>
        <w:t>,</w:t>
      </w:r>
      <w:r w:rsidR="00D52F1A" w:rsidRPr="005D1193">
        <w:rPr>
          <w:rFonts w:ascii="Times New Roman" w:hAnsi="Times New Roman"/>
          <w:sz w:val="24"/>
          <w:szCs w:val="24"/>
        </w:rPr>
        <w:t xml:space="preserve"> Розрахунковий центр </w:t>
      </w:r>
      <w:r w:rsidR="00165AA0" w:rsidRPr="005D1193">
        <w:rPr>
          <w:rFonts w:ascii="Times New Roman" w:hAnsi="Times New Roman"/>
          <w:sz w:val="24"/>
          <w:szCs w:val="24"/>
        </w:rPr>
        <w:t>припиняє зобов</w:t>
      </w:r>
      <w:r w:rsidR="005F41FA" w:rsidRPr="005D1193">
        <w:rPr>
          <w:rFonts w:ascii="Times New Roman" w:hAnsi="Times New Roman"/>
          <w:sz w:val="24"/>
          <w:szCs w:val="24"/>
        </w:rPr>
        <w:t>’</w:t>
      </w:r>
      <w:r w:rsidR="00165AA0" w:rsidRPr="005D1193">
        <w:rPr>
          <w:rFonts w:ascii="Times New Roman" w:hAnsi="Times New Roman"/>
          <w:sz w:val="24"/>
          <w:szCs w:val="24"/>
        </w:rPr>
        <w:t>язання сторін договору РЕПО</w:t>
      </w:r>
      <w:r w:rsidR="005C20BA" w:rsidRPr="005D1193">
        <w:rPr>
          <w:rFonts w:ascii="Times New Roman" w:hAnsi="Times New Roman"/>
          <w:sz w:val="24"/>
          <w:szCs w:val="24"/>
        </w:rPr>
        <w:t>, в тому числі добросовісної сторони договору РЕПО</w:t>
      </w:r>
      <w:r w:rsidR="00165AA0" w:rsidRPr="005D1193">
        <w:rPr>
          <w:rFonts w:ascii="Times New Roman" w:hAnsi="Times New Roman"/>
          <w:sz w:val="24"/>
          <w:szCs w:val="24"/>
        </w:rPr>
        <w:t xml:space="preserve"> та </w:t>
      </w:r>
      <w:r w:rsidR="007B6694">
        <w:rPr>
          <w:rFonts w:ascii="Times New Roman" w:hAnsi="Times New Roman"/>
          <w:sz w:val="24"/>
          <w:szCs w:val="24"/>
        </w:rPr>
        <w:t xml:space="preserve">сплачує </w:t>
      </w:r>
      <w:r w:rsidR="00165AA0" w:rsidRPr="005D1193">
        <w:rPr>
          <w:rFonts w:ascii="Times New Roman" w:hAnsi="Times New Roman"/>
          <w:sz w:val="24"/>
          <w:szCs w:val="24"/>
        </w:rPr>
        <w:t>добросовісній стороні договору РЕПО</w:t>
      </w:r>
      <w:r w:rsidR="00D52F1A" w:rsidRPr="005D1193">
        <w:rPr>
          <w:rFonts w:ascii="Times New Roman" w:hAnsi="Times New Roman"/>
          <w:sz w:val="24"/>
          <w:szCs w:val="24"/>
        </w:rPr>
        <w:t xml:space="preserve"> </w:t>
      </w:r>
      <w:r w:rsidR="00165AA0" w:rsidRPr="005D1193">
        <w:rPr>
          <w:rFonts w:ascii="Times New Roman" w:hAnsi="Times New Roman"/>
          <w:sz w:val="24"/>
          <w:szCs w:val="24"/>
        </w:rPr>
        <w:t xml:space="preserve">штраф </w:t>
      </w:r>
      <w:r w:rsidR="00BA2308" w:rsidRPr="005D1193">
        <w:rPr>
          <w:rFonts w:ascii="Times New Roman" w:hAnsi="Times New Roman"/>
          <w:sz w:val="24"/>
          <w:szCs w:val="24"/>
        </w:rPr>
        <w:t xml:space="preserve">виключно </w:t>
      </w:r>
      <w:r w:rsidR="00165AA0" w:rsidRPr="005D1193">
        <w:rPr>
          <w:rFonts w:ascii="Times New Roman" w:hAnsi="Times New Roman"/>
          <w:sz w:val="24"/>
          <w:szCs w:val="24"/>
        </w:rPr>
        <w:t>за рахунок</w:t>
      </w:r>
      <w:r w:rsidR="00BA2308" w:rsidRPr="005D1193">
        <w:rPr>
          <w:rFonts w:ascii="Times New Roman" w:hAnsi="Times New Roman"/>
          <w:sz w:val="24"/>
          <w:szCs w:val="24"/>
        </w:rPr>
        <w:t xml:space="preserve"> </w:t>
      </w:r>
      <w:r w:rsidR="00165AA0" w:rsidRPr="005D1193">
        <w:rPr>
          <w:rFonts w:ascii="Times New Roman" w:hAnsi="Times New Roman"/>
          <w:sz w:val="24"/>
          <w:szCs w:val="24"/>
        </w:rPr>
        <w:t xml:space="preserve">гарантійного забезпечення, внесеного </w:t>
      </w:r>
      <w:r w:rsidR="008379D2" w:rsidRPr="005D1193">
        <w:rPr>
          <w:rFonts w:ascii="Times New Roman" w:hAnsi="Times New Roman"/>
          <w:sz w:val="24"/>
          <w:szCs w:val="24"/>
        </w:rPr>
        <w:t>учасником клірингу</w:t>
      </w:r>
      <w:r w:rsidR="00165AA0" w:rsidRPr="005D1193">
        <w:rPr>
          <w:rFonts w:ascii="Times New Roman" w:hAnsi="Times New Roman"/>
          <w:sz w:val="24"/>
          <w:szCs w:val="24"/>
        </w:rPr>
        <w:t>, як</w:t>
      </w:r>
      <w:r w:rsidR="008379D2" w:rsidRPr="005D1193">
        <w:rPr>
          <w:rFonts w:ascii="Times New Roman" w:hAnsi="Times New Roman"/>
          <w:sz w:val="24"/>
          <w:szCs w:val="24"/>
        </w:rPr>
        <w:t>ий</w:t>
      </w:r>
      <w:r w:rsidR="00D30330" w:rsidRPr="005D1193">
        <w:rPr>
          <w:rFonts w:ascii="Times New Roman" w:hAnsi="Times New Roman"/>
          <w:sz w:val="24"/>
          <w:szCs w:val="24"/>
        </w:rPr>
        <w:t xml:space="preserve"> є винною стороною договору РЕПО</w:t>
      </w:r>
      <w:r w:rsidR="007B6694">
        <w:rPr>
          <w:rFonts w:ascii="Times New Roman" w:hAnsi="Times New Roman"/>
          <w:sz w:val="24"/>
          <w:szCs w:val="24"/>
        </w:rPr>
        <w:t>, в розмірі, визначеному цим Положенням</w:t>
      </w:r>
      <w:r w:rsidR="00165AA0" w:rsidRPr="005D1193">
        <w:rPr>
          <w:rFonts w:ascii="Times New Roman" w:hAnsi="Times New Roman"/>
          <w:sz w:val="24"/>
          <w:szCs w:val="24"/>
        </w:rPr>
        <w:t>.</w:t>
      </w:r>
      <w:r w:rsidR="00E026B5" w:rsidRPr="005D1193">
        <w:rPr>
          <w:rFonts w:ascii="Times New Roman" w:hAnsi="Times New Roman"/>
          <w:sz w:val="24"/>
          <w:szCs w:val="24"/>
        </w:rPr>
        <w:t xml:space="preserve"> </w:t>
      </w:r>
      <w:r w:rsidR="00C23AC2" w:rsidRPr="00C23AC2">
        <w:rPr>
          <w:rFonts w:ascii="Times New Roman" w:hAnsi="Times New Roman"/>
          <w:sz w:val="24"/>
          <w:szCs w:val="24"/>
        </w:rPr>
        <w:t>Враховуючи, що кредитор отримує цінні папери за першою частиною договору РЕПО за</w:t>
      </w:r>
      <w:r w:rsidR="00C23AC2">
        <w:rPr>
          <w:rFonts w:ascii="Times New Roman" w:hAnsi="Times New Roman"/>
          <w:sz w:val="24"/>
          <w:szCs w:val="24"/>
        </w:rPr>
        <w:t xml:space="preserve"> ринковою вартістю цінного паперу</w:t>
      </w:r>
      <w:r w:rsidR="001834C9">
        <w:rPr>
          <w:rFonts w:ascii="Times New Roman" w:hAnsi="Times New Roman"/>
          <w:sz w:val="24"/>
          <w:szCs w:val="24"/>
        </w:rPr>
        <w:t>, яка</w:t>
      </w:r>
      <w:r w:rsidR="00C23AC2" w:rsidRPr="00C23AC2">
        <w:rPr>
          <w:rFonts w:ascii="Times New Roman" w:hAnsi="Times New Roman"/>
          <w:sz w:val="24"/>
          <w:szCs w:val="24"/>
        </w:rPr>
        <w:t xml:space="preserve"> знижен</w:t>
      </w:r>
      <w:r w:rsidR="001834C9">
        <w:rPr>
          <w:rFonts w:ascii="Times New Roman" w:hAnsi="Times New Roman"/>
          <w:sz w:val="24"/>
          <w:szCs w:val="24"/>
        </w:rPr>
        <w:t>а</w:t>
      </w:r>
      <w:r w:rsidR="00C23AC2" w:rsidRPr="00C23AC2">
        <w:rPr>
          <w:rFonts w:ascii="Times New Roman" w:hAnsi="Times New Roman"/>
          <w:sz w:val="24"/>
          <w:szCs w:val="24"/>
        </w:rPr>
        <w:t xml:space="preserve"> на розмір дисконту, то розмір штрафу, який має бути сплачений кредитору</w:t>
      </w:r>
      <w:r w:rsidR="003731E7">
        <w:rPr>
          <w:rFonts w:ascii="Times New Roman" w:hAnsi="Times New Roman"/>
          <w:sz w:val="24"/>
          <w:szCs w:val="24"/>
        </w:rPr>
        <w:t>, який є</w:t>
      </w:r>
      <w:r w:rsidR="00C23AC2" w:rsidRPr="00C23AC2">
        <w:rPr>
          <w:rFonts w:ascii="Times New Roman" w:hAnsi="Times New Roman"/>
          <w:sz w:val="24"/>
          <w:szCs w:val="24"/>
        </w:rPr>
        <w:t xml:space="preserve"> </w:t>
      </w:r>
      <w:r w:rsidR="003731E7" w:rsidRPr="005D1193">
        <w:rPr>
          <w:rFonts w:ascii="Times New Roman" w:hAnsi="Times New Roman"/>
          <w:sz w:val="24"/>
          <w:szCs w:val="24"/>
        </w:rPr>
        <w:t>добросовісн</w:t>
      </w:r>
      <w:r w:rsidR="003731E7">
        <w:rPr>
          <w:rFonts w:ascii="Times New Roman" w:hAnsi="Times New Roman"/>
          <w:sz w:val="24"/>
          <w:szCs w:val="24"/>
        </w:rPr>
        <w:t>ою</w:t>
      </w:r>
      <w:r w:rsidR="003731E7" w:rsidRPr="005D1193">
        <w:rPr>
          <w:rFonts w:ascii="Times New Roman" w:hAnsi="Times New Roman"/>
          <w:sz w:val="24"/>
          <w:szCs w:val="24"/>
        </w:rPr>
        <w:t xml:space="preserve"> сторон</w:t>
      </w:r>
      <w:r w:rsidR="003731E7">
        <w:rPr>
          <w:rFonts w:ascii="Times New Roman" w:hAnsi="Times New Roman"/>
          <w:sz w:val="24"/>
          <w:szCs w:val="24"/>
        </w:rPr>
        <w:t>ою</w:t>
      </w:r>
      <w:r w:rsidR="003731E7" w:rsidRPr="005D1193">
        <w:rPr>
          <w:rFonts w:ascii="Times New Roman" w:hAnsi="Times New Roman"/>
          <w:sz w:val="24"/>
          <w:szCs w:val="24"/>
        </w:rPr>
        <w:t xml:space="preserve"> договору РЕПО</w:t>
      </w:r>
      <w:r w:rsidR="003731E7">
        <w:rPr>
          <w:rFonts w:ascii="Times New Roman" w:hAnsi="Times New Roman"/>
          <w:sz w:val="24"/>
          <w:szCs w:val="24"/>
        </w:rPr>
        <w:t>,</w:t>
      </w:r>
      <w:r w:rsidR="003731E7" w:rsidRPr="005D1193">
        <w:rPr>
          <w:rFonts w:ascii="Times New Roman" w:hAnsi="Times New Roman"/>
          <w:sz w:val="24"/>
          <w:szCs w:val="24"/>
        </w:rPr>
        <w:t xml:space="preserve"> </w:t>
      </w:r>
      <w:r w:rsidR="00C23AC2" w:rsidRPr="00C23AC2">
        <w:rPr>
          <w:rFonts w:ascii="Times New Roman" w:hAnsi="Times New Roman"/>
          <w:sz w:val="24"/>
          <w:szCs w:val="24"/>
        </w:rPr>
        <w:t>може дорівнювати нулю.</w:t>
      </w:r>
    </w:p>
    <w:p w14:paraId="033A8021" w14:textId="4AD30A63" w:rsidR="00AD66AE" w:rsidRPr="005D1193" w:rsidRDefault="00320C9B"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4</w:t>
      </w:r>
      <w:r w:rsidR="00024D91" w:rsidRPr="005D1193">
        <w:rPr>
          <w:rFonts w:ascii="Times New Roman" w:hAnsi="Times New Roman"/>
          <w:sz w:val="24"/>
          <w:szCs w:val="24"/>
        </w:rPr>
        <w:t xml:space="preserve">.3. </w:t>
      </w:r>
      <w:r w:rsidR="007534C8" w:rsidRPr="005D1193">
        <w:rPr>
          <w:rFonts w:ascii="Times New Roman" w:hAnsi="Times New Roman"/>
          <w:sz w:val="24"/>
          <w:szCs w:val="24"/>
        </w:rPr>
        <w:t>Перша модель управління ризик</w:t>
      </w:r>
      <w:r w:rsidR="00764B9D" w:rsidRPr="005D1193">
        <w:rPr>
          <w:rFonts w:ascii="Times New Roman" w:hAnsi="Times New Roman"/>
          <w:sz w:val="24"/>
          <w:szCs w:val="24"/>
        </w:rPr>
        <w:t>ами</w:t>
      </w:r>
      <w:r w:rsidR="007534C8" w:rsidRPr="005D1193">
        <w:rPr>
          <w:rFonts w:ascii="Times New Roman" w:hAnsi="Times New Roman"/>
          <w:sz w:val="24"/>
          <w:szCs w:val="24"/>
        </w:rPr>
        <w:t xml:space="preserve"> реалізується шляхом здійснення Розрахунковим центром процедур з передачі сторонам біржового правочину активів</w:t>
      </w:r>
      <w:r w:rsidR="004462D1" w:rsidRPr="005D1193">
        <w:rPr>
          <w:rFonts w:ascii="Times New Roman" w:hAnsi="Times New Roman"/>
          <w:sz w:val="24"/>
          <w:szCs w:val="24"/>
        </w:rPr>
        <w:t>,</w:t>
      </w:r>
      <w:r w:rsidR="007534C8" w:rsidRPr="005D1193">
        <w:rPr>
          <w:rFonts w:ascii="Times New Roman" w:hAnsi="Times New Roman"/>
          <w:sz w:val="24"/>
          <w:szCs w:val="24"/>
        </w:rPr>
        <w:t xml:space="preserve"> стосовно яких укладений </w:t>
      </w:r>
      <w:r w:rsidR="001D222B" w:rsidRPr="005D1193">
        <w:rPr>
          <w:rFonts w:ascii="Times New Roman" w:hAnsi="Times New Roman"/>
          <w:sz w:val="24"/>
          <w:szCs w:val="24"/>
        </w:rPr>
        <w:t xml:space="preserve">біржовий </w:t>
      </w:r>
      <w:r w:rsidR="007534C8" w:rsidRPr="005D1193">
        <w:rPr>
          <w:rFonts w:ascii="Times New Roman" w:hAnsi="Times New Roman"/>
          <w:sz w:val="24"/>
          <w:szCs w:val="24"/>
        </w:rPr>
        <w:t>правочин</w:t>
      </w:r>
      <w:r w:rsidR="004462D1" w:rsidRPr="005D1193">
        <w:rPr>
          <w:rFonts w:ascii="Times New Roman" w:hAnsi="Times New Roman"/>
          <w:sz w:val="24"/>
          <w:szCs w:val="24"/>
        </w:rPr>
        <w:t>,</w:t>
      </w:r>
      <w:r w:rsidR="007534C8" w:rsidRPr="005D1193">
        <w:rPr>
          <w:rFonts w:ascii="Times New Roman" w:hAnsi="Times New Roman"/>
          <w:sz w:val="24"/>
          <w:szCs w:val="24"/>
        </w:rPr>
        <w:t xml:space="preserve"> у визначений </w:t>
      </w:r>
      <w:r w:rsidR="004462D1" w:rsidRPr="005D1193">
        <w:rPr>
          <w:rFonts w:ascii="Times New Roman" w:hAnsi="Times New Roman"/>
          <w:sz w:val="24"/>
          <w:szCs w:val="24"/>
        </w:rPr>
        <w:t>Розрахунковим центром</w:t>
      </w:r>
      <w:r w:rsidR="00F47054" w:rsidRPr="005D1193">
        <w:rPr>
          <w:rFonts w:ascii="Times New Roman" w:hAnsi="Times New Roman"/>
          <w:sz w:val="24"/>
          <w:szCs w:val="24"/>
        </w:rPr>
        <w:t xml:space="preserve"> </w:t>
      </w:r>
      <w:r w:rsidR="007534C8" w:rsidRPr="005D1193">
        <w:rPr>
          <w:rFonts w:ascii="Times New Roman" w:hAnsi="Times New Roman"/>
          <w:sz w:val="24"/>
          <w:szCs w:val="24"/>
        </w:rPr>
        <w:t>час та за процедурами, визначеними у внутрішніх документах Розрахункового центру. З</w:t>
      </w:r>
      <w:r w:rsidR="00BD427D" w:rsidRPr="005D1193">
        <w:rPr>
          <w:rFonts w:ascii="Times New Roman" w:hAnsi="Times New Roman"/>
          <w:sz w:val="24"/>
          <w:szCs w:val="24"/>
        </w:rPr>
        <w:t xml:space="preserve"> моменту передачі</w:t>
      </w:r>
      <w:r w:rsidR="007534C8" w:rsidRPr="005D1193">
        <w:rPr>
          <w:rFonts w:ascii="Times New Roman" w:hAnsi="Times New Roman"/>
          <w:sz w:val="24"/>
          <w:szCs w:val="24"/>
        </w:rPr>
        <w:t xml:space="preserve"> даних активів вважається, що обов</w:t>
      </w:r>
      <w:r w:rsidR="005F41FA" w:rsidRPr="005D1193">
        <w:rPr>
          <w:rFonts w:ascii="Times New Roman" w:hAnsi="Times New Roman"/>
          <w:sz w:val="24"/>
          <w:szCs w:val="24"/>
        </w:rPr>
        <w:t>’</w:t>
      </w:r>
      <w:r w:rsidR="007534C8" w:rsidRPr="005D1193">
        <w:rPr>
          <w:rFonts w:ascii="Times New Roman" w:hAnsi="Times New Roman"/>
          <w:sz w:val="24"/>
          <w:szCs w:val="24"/>
        </w:rPr>
        <w:t>язки Розрахункового центру</w:t>
      </w:r>
      <w:r w:rsidR="00F47054" w:rsidRPr="005D1193">
        <w:rPr>
          <w:rFonts w:ascii="Times New Roman" w:hAnsi="Times New Roman"/>
          <w:sz w:val="24"/>
          <w:szCs w:val="24"/>
        </w:rPr>
        <w:t xml:space="preserve"> та сторін біржового правочину</w:t>
      </w:r>
      <w:r w:rsidR="007534C8" w:rsidRPr="005D1193">
        <w:rPr>
          <w:rFonts w:ascii="Times New Roman" w:hAnsi="Times New Roman"/>
          <w:sz w:val="24"/>
          <w:szCs w:val="24"/>
        </w:rPr>
        <w:t xml:space="preserve"> припинені</w:t>
      </w:r>
      <w:r w:rsidR="001D222B" w:rsidRPr="005D1193">
        <w:rPr>
          <w:rFonts w:ascii="Times New Roman" w:hAnsi="Times New Roman"/>
          <w:sz w:val="24"/>
          <w:szCs w:val="24"/>
        </w:rPr>
        <w:t>.</w:t>
      </w:r>
      <w:r w:rsidR="00AD66AE" w:rsidRPr="005D1193">
        <w:rPr>
          <w:rFonts w:ascii="Times New Roman" w:hAnsi="Times New Roman"/>
          <w:sz w:val="24"/>
          <w:szCs w:val="24"/>
        </w:rPr>
        <w:t xml:space="preserve"> </w:t>
      </w:r>
    </w:p>
    <w:p w14:paraId="765228E8" w14:textId="77777777" w:rsidR="00AD66AE" w:rsidRPr="005D1193" w:rsidRDefault="00C21D07"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4</w:t>
      </w:r>
      <w:r w:rsidR="007534C8" w:rsidRPr="005D1193">
        <w:rPr>
          <w:rFonts w:ascii="Times New Roman" w:hAnsi="Times New Roman"/>
          <w:sz w:val="24"/>
          <w:szCs w:val="24"/>
        </w:rPr>
        <w:t>.4</w:t>
      </w:r>
      <w:r w:rsidR="00AD66AE" w:rsidRPr="005D1193">
        <w:rPr>
          <w:rFonts w:ascii="Times New Roman" w:hAnsi="Times New Roman"/>
          <w:sz w:val="24"/>
          <w:szCs w:val="24"/>
        </w:rPr>
        <w:t xml:space="preserve">. </w:t>
      </w:r>
      <w:r w:rsidR="007534C8" w:rsidRPr="005D1193">
        <w:rPr>
          <w:rFonts w:ascii="Times New Roman" w:hAnsi="Times New Roman"/>
          <w:sz w:val="24"/>
          <w:szCs w:val="24"/>
        </w:rPr>
        <w:t>Друга м</w:t>
      </w:r>
      <w:r w:rsidR="00AD66AE" w:rsidRPr="005D1193">
        <w:rPr>
          <w:rFonts w:ascii="Times New Roman" w:hAnsi="Times New Roman"/>
          <w:sz w:val="24"/>
          <w:szCs w:val="24"/>
        </w:rPr>
        <w:t xml:space="preserve">одель </w:t>
      </w:r>
      <w:r w:rsidR="007534C8" w:rsidRPr="005D1193">
        <w:rPr>
          <w:rFonts w:ascii="Times New Roman" w:hAnsi="Times New Roman"/>
          <w:sz w:val="24"/>
          <w:szCs w:val="24"/>
        </w:rPr>
        <w:t xml:space="preserve">управління </w:t>
      </w:r>
      <w:r w:rsidR="00AD66AE" w:rsidRPr="005D1193">
        <w:rPr>
          <w:rFonts w:ascii="Times New Roman" w:hAnsi="Times New Roman"/>
          <w:sz w:val="24"/>
          <w:szCs w:val="24"/>
        </w:rPr>
        <w:t>ризик</w:t>
      </w:r>
      <w:r w:rsidR="00764B9D" w:rsidRPr="005D1193">
        <w:rPr>
          <w:rFonts w:ascii="Times New Roman" w:hAnsi="Times New Roman"/>
          <w:sz w:val="24"/>
          <w:szCs w:val="24"/>
        </w:rPr>
        <w:t>ами</w:t>
      </w:r>
      <w:r w:rsidR="00AD66AE" w:rsidRPr="005D1193">
        <w:rPr>
          <w:rFonts w:ascii="Times New Roman" w:hAnsi="Times New Roman"/>
          <w:sz w:val="24"/>
          <w:szCs w:val="24"/>
        </w:rPr>
        <w:t xml:space="preserve"> Розрахункового центру складається з наступних рівнів</w:t>
      </w:r>
      <w:r w:rsidR="00226280" w:rsidRPr="005D1193">
        <w:rPr>
          <w:rFonts w:ascii="Times New Roman" w:hAnsi="Times New Roman"/>
          <w:sz w:val="24"/>
          <w:szCs w:val="24"/>
        </w:rPr>
        <w:t xml:space="preserve"> захисту</w:t>
      </w:r>
      <w:r w:rsidR="00AD66AE" w:rsidRPr="005D1193">
        <w:rPr>
          <w:rFonts w:ascii="Times New Roman" w:hAnsi="Times New Roman"/>
          <w:sz w:val="24"/>
          <w:szCs w:val="24"/>
        </w:rPr>
        <w:t>:</w:t>
      </w:r>
    </w:p>
    <w:p w14:paraId="48F851F5" w14:textId="227510FC" w:rsidR="00A47EEB" w:rsidRPr="005D1193" w:rsidRDefault="00320C9B"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4</w:t>
      </w:r>
      <w:r w:rsidR="00AD66AE" w:rsidRPr="005D1193">
        <w:rPr>
          <w:rFonts w:ascii="Times New Roman" w:hAnsi="Times New Roman"/>
          <w:sz w:val="24"/>
          <w:szCs w:val="24"/>
        </w:rPr>
        <w:t>.</w:t>
      </w:r>
      <w:r w:rsidR="00063A62" w:rsidRPr="005D1193">
        <w:rPr>
          <w:rFonts w:ascii="Times New Roman" w:hAnsi="Times New Roman"/>
          <w:sz w:val="24"/>
          <w:szCs w:val="24"/>
        </w:rPr>
        <w:t>4</w:t>
      </w:r>
      <w:r w:rsidR="00AD66AE" w:rsidRPr="005D1193">
        <w:rPr>
          <w:rFonts w:ascii="Times New Roman" w:hAnsi="Times New Roman"/>
          <w:sz w:val="24"/>
          <w:szCs w:val="24"/>
        </w:rPr>
        <w:t xml:space="preserve">.1. </w:t>
      </w:r>
      <w:r w:rsidR="00A47EEB" w:rsidRPr="005D1193">
        <w:rPr>
          <w:rFonts w:ascii="Times New Roman" w:hAnsi="Times New Roman"/>
          <w:sz w:val="24"/>
          <w:szCs w:val="24"/>
        </w:rPr>
        <w:t>перший рівень захисту – в</w:t>
      </w:r>
      <w:r w:rsidR="00F47054" w:rsidRPr="005D1193">
        <w:rPr>
          <w:rFonts w:ascii="Times New Roman" w:hAnsi="Times New Roman"/>
          <w:sz w:val="24"/>
          <w:szCs w:val="24"/>
        </w:rPr>
        <w:t>становлення в</w:t>
      </w:r>
      <w:r w:rsidR="00AD66AE" w:rsidRPr="005D1193">
        <w:rPr>
          <w:rFonts w:ascii="Times New Roman" w:hAnsi="Times New Roman"/>
          <w:sz w:val="24"/>
          <w:szCs w:val="24"/>
        </w:rPr>
        <w:t xml:space="preserve">имог до учасників клірингу. Виключно </w:t>
      </w:r>
      <w:r w:rsidR="004D5621" w:rsidRPr="005D1193">
        <w:rPr>
          <w:rFonts w:ascii="Times New Roman" w:hAnsi="Times New Roman"/>
          <w:sz w:val="24"/>
          <w:szCs w:val="24"/>
        </w:rPr>
        <w:t xml:space="preserve">учасники клірингу, які відповідають вимогам Розрахункового центру щодо допуску учасників клірингу до окремих клірингових операцій, можуть здійснювати операції, які гарантуються </w:t>
      </w:r>
      <w:r w:rsidR="006F2103" w:rsidRPr="005D1193">
        <w:rPr>
          <w:rFonts w:ascii="Times New Roman" w:hAnsi="Times New Roman"/>
          <w:sz w:val="24"/>
          <w:szCs w:val="24"/>
        </w:rPr>
        <w:t xml:space="preserve">за рахунок </w:t>
      </w:r>
      <w:r w:rsidR="006F2103" w:rsidRPr="005D1193">
        <w:rPr>
          <w:rFonts w:ascii="Times New Roman" w:hAnsi="Times New Roman"/>
          <w:sz w:val="24"/>
          <w:szCs w:val="24"/>
        </w:rPr>
        <w:lastRenderedPageBreak/>
        <w:t xml:space="preserve">попереднього </w:t>
      </w:r>
      <w:r w:rsidR="00234F91" w:rsidRPr="005D1193">
        <w:rPr>
          <w:rFonts w:ascii="Times New Roman" w:hAnsi="Times New Roman"/>
          <w:sz w:val="24"/>
          <w:szCs w:val="24"/>
        </w:rPr>
        <w:t xml:space="preserve">депонування та </w:t>
      </w:r>
      <w:r w:rsidR="006F2103" w:rsidRPr="005D1193">
        <w:rPr>
          <w:rFonts w:ascii="Times New Roman" w:hAnsi="Times New Roman"/>
          <w:sz w:val="24"/>
          <w:szCs w:val="24"/>
        </w:rPr>
        <w:t>резервування активів (коштів та/або цінних паперів) в якост</w:t>
      </w:r>
      <w:r w:rsidR="000E1F46" w:rsidRPr="005D1193">
        <w:rPr>
          <w:rFonts w:ascii="Times New Roman" w:hAnsi="Times New Roman"/>
          <w:sz w:val="24"/>
          <w:szCs w:val="24"/>
        </w:rPr>
        <w:t>і</w:t>
      </w:r>
      <w:r w:rsidR="006F2103" w:rsidRPr="005D1193">
        <w:rPr>
          <w:rFonts w:ascii="Times New Roman" w:hAnsi="Times New Roman"/>
          <w:sz w:val="24"/>
          <w:szCs w:val="24"/>
        </w:rPr>
        <w:t xml:space="preserve"> гарантійного забезпечення</w:t>
      </w:r>
      <w:r w:rsidR="00C21D07" w:rsidRPr="005D1193">
        <w:rPr>
          <w:rFonts w:ascii="Times New Roman" w:hAnsi="Times New Roman"/>
          <w:sz w:val="24"/>
          <w:szCs w:val="24"/>
        </w:rPr>
        <w:t>;</w:t>
      </w:r>
    </w:p>
    <w:p w14:paraId="796CF05A" w14:textId="1D424A63" w:rsidR="00AD66AE" w:rsidRPr="005D1193" w:rsidRDefault="00320C9B"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4</w:t>
      </w:r>
      <w:r w:rsidR="00AD66AE" w:rsidRPr="005D1193">
        <w:rPr>
          <w:rFonts w:ascii="Times New Roman" w:hAnsi="Times New Roman"/>
          <w:sz w:val="24"/>
          <w:szCs w:val="24"/>
        </w:rPr>
        <w:t>.</w:t>
      </w:r>
      <w:r w:rsidR="00063A62" w:rsidRPr="005D1193">
        <w:rPr>
          <w:rFonts w:ascii="Times New Roman" w:hAnsi="Times New Roman"/>
          <w:sz w:val="24"/>
          <w:szCs w:val="24"/>
        </w:rPr>
        <w:t>4</w:t>
      </w:r>
      <w:r w:rsidR="00AD66AE" w:rsidRPr="005D1193">
        <w:rPr>
          <w:rFonts w:ascii="Times New Roman" w:hAnsi="Times New Roman"/>
          <w:sz w:val="24"/>
          <w:szCs w:val="24"/>
        </w:rPr>
        <w:t xml:space="preserve">.2. </w:t>
      </w:r>
      <w:r w:rsidR="00A47EEB" w:rsidRPr="005D1193">
        <w:rPr>
          <w:rFonts w:ascii="Times New Roman" w:hAnsi="Times New Roman"/>
          <w:sz w:val="24"/>
          <w:szCs w:val="24"/>
        </w:rPr>
        <w:t>другий рівень захисту – в</w:t>
      </w:r>
      <w:r w:rsidR="00F47054" w:rsidRPr="005D1193">
        <w:rPr>
          <w:rFonts w:ascii="Times New Roman" w:hAnsi="Times New Roman"/>
          <w:sz w:val="24"/>
          <w:szCs w:val="24"/>
        </w:rPr>
        <w:t xml:space="preserve">становлення певного рівня </w:t>
      </w:r>
      <w:r w:rsidR="00CE200E" w:rsidRPr="005D1193">
        <w:rPr>
          <w:rFonts w:ascii="Times New Roman" w:hAnsi="Times New Roman"/>
          <w:sz w:val="24"/>
          <w:szCs w:val="24"/>
        </w:rPr>
        <w:t>г</w:t>
      </w:r>
      <w:r w:rsidR="00AD66AE" w:rsidRPr="005D1193">
        <w:rPr>
          <w:rFonts w:ascii="Times New Roman" w:hAnsi="Times New Roman"/>
          <w:sz w:val="24"/>
          <w:szCs w:val="24"/>
        </w:rPr>
        <w:t>арантійн</w:t>
      </w:r>
      <w:r w:rsidR="00F47054" w:rsidRPr="005D1193">
        <w:rPr>
          <w:rFonts w:ascii="Times New Roman" w:hAnsi="Times New Roman"/>
          <w:sz w:val="24"/>
          <w:szCs w:val="24"/>
        </w:rPr>
        <w:t>ого</w:t>
      </w:r>
      <w:r w:rsidR="00AD66AE" w:rsidRPr="005D1193">
        <w:rPr>
          <w:rFonts w:ascii="Times New Roman" w:hAnsi="Times New Roman"/>
          <w:sz w:val="24"/>
          <w:szCs w:val="24"/>
        </w:rPr>
        <w:t xml:space="preserve"> забезпечення. Розрахунковий центр вимагає від кожного учасника клірингу відповідності розміру </w:t>
      </w:r>
      <w:r w:rsidR="00226280" w:rsidRPr="005D1193">
        <w:rPr>
          <w:rFonts w:ascii="Times New Roman" w:hAnsi="Times New Roman"/>
          <w:sz w:val="24"/>
          <w:szCs w:val="24"/>
        </w:rPr>
        <w:t>г</w:t>
      </w:r>
      <w:r w:rsidR="00AD66AE" w:rsidRPr="005D1193">
        <w:rPr>
          <w:rFonts w:ascii="Times New Roman" w:hAnsi="Times New Roman"/>
          <w:sz w:val="24"/>
          <w:szCs w:val="24"/>
        </w:rPr>
        <w:t>арантійного забезпечення даного учасника</w:t>
      </w:r>
      <w:r w:rsidR="001E49E8" w:rsidRPr="005D1193">
        <w:rPr>
          <w:rFonts w:ascii="Times New Roman" w:hAnsi="Times New Roman"/>
          <w:sz w:val="24"/>
          <w:szCs w:val="24"/>
        </w:rPr>
        <w:t xml:space="preserve"> клірингу</w:t>
      </w:r>
      <w:r w:rsidR="00AD66AE" w:rsidRPr="005D1193">
        <w:rPr>
          <w:rFonts w:ascii="Times New Roman" w:hAnsi="Times New Roman"/>
          <w:sz w:val="24"/>
          <w:szCs w:val="24"/>
        </w:rPr>
        <w:t xml:space="preserve"> </w:t>
      </w:r>
      <w:r w:rsidR="00F47054" w:rsidRPr="005D1193">
        <w:rPr>
          <w:rFonts w:ascii="Times New Roman" w:hAnsi="Times New Roman"/>
          <w:sz w:val="24"/>
          <w:szCs w:val="24"/>
        </w:rPr>
        <w:t xml:space="preserve">розміру </w:t>
      </w:r>
      <w:r w:rsidR="00AD66AE" w:rsidRPr="005D1193">
        <w:rPr>
          <w:rFonts w:ascii="Times New Roman" w:hAnsi="Times New Roman"/>
          <w:sz w:val="24"/>
          <w:szCs w:val="24"/>
        </w:rPr>
        <w:t>його зобов</w:t>
      </w:r>
      <w:r w:rsidR="005F41FA" w:rsidRPr="005D1193">
        <w:rPr>
          <w:rFonts w:ascii="Times New Roman" w:hAnsi="Times New Roman"/>
          <w:sz w:val="24"/>
          <w:szCs w:val="24"/>
        </w:rPr>
        <w:t>’</w:t>
      </w:r>
      <w:r w:rsidR="00AD66AE" w:rsidRPr="005D1193">
        <w:rPr>
          <w:rFonts w:ascii="Times New Roman" w:hAnsi="Times New Roman"/>
          <w:sz w:val="24"/>
          <w:szCs w:val="24"/>
        </w:rPr>
        <w:t>язан</w:t>
      </w:r>
      <w:r w:rsidR="00F47054" w:rsidRPr="005D1193">
        <w:rPr>
          <w:rFonts w:ascii="Times New Roman" w:hAnsi="Times New Roman"/>
          <w:sz w:val="24"/>
          <w:szCs w:val="24"/>
        </w:rPr>
        <w:t xml:space="preserve">ь за укладеними біржовими правочинами з </w:t>
      </w:r>
      <w:r w:rsidR="00AD66AE" w:rsidRPr="005D1193">
        <w:rPr>
          <w:rFonts w:ascii="Times New Roman" w:hAnsi="Times New Roman"/>
          <w:sz w:val="24"/>
          <w:szCs w:val="24"/>
        </w:rPr>
        <w:t>Розрахунков</w:t>
      </w:r>
      <w:r w:rsidR="00F47054" w:rsidRPr="005D1193">
        <w:rPr>
          <w:rFonts w:ascii="Times New Roman" w:hAnsi="Times New Roman"/>
          <w:sz w:val="24"/>
          <w:szCs w:val="24"/>
        </w:rPr>
        <w:t>им</w:t>
      </w:r>
      <w:r w:rsidR="00AD66AE" w:rsidRPr="005D1193">
        <w:rPr>
          <w:rFonts w:ascii="Times New Roman" w:hAnsi="Times New Roman"/>
          <w:sz w:val="24"/>
          <w:szCs w:val="24"/>
        </w:rPr>
        <w:t xml:space="preserve"> центр</w:t>
      </w:r>
      <w:r w:rsidR="00F47054" w:rsidRPr="005D1193">
        <w:rPr>
          <w:rFonts w:ascii="Times New Roman" w:hAnsi="Times New Roman"/>
          <w:sz w:val="24"/>
          <w:szCs w:val="24"/>
        </w:rPr>
        <w:t>ом</w:t>
      </w:r>
      <w:r w:rsidR="00C21D07" w:rsidRPr="005D1193">
        <w:rPr>
          <w:rFonts w:ascii="Times New Roman" w:hAnsi="Times New Roman"/>
          <w:sz w:val="24"/>
          <w:szCs w:val="24"/>
        </w:rPr>
        <w:t>;</w:t>
      </w:r>
      <w:r w:rsidR="00AD66AE" w:rsidRPr="005D1193">
        <w:rPr>
          <w:rFonts w:ascii="Times New Roman" w:hAnsi="Times New Roman"/>
          <w:sz w:val="24"/>
          <w:szCs w:val="24"/>
        </w:rPr>
        <w:t xml:space="preserve"> </w:t>
      </w:r>
    </w:p>
    <w:p w14:paraId="634DB06B" w14:textId="4168771C" w:rsidR="00932095" w:rsidRPr="005D1193" w:rsidRDefault="00932095"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4.4.3</w:t>
      </w:r>
      <w:r w:rsidR="00631338" w:rsidRPr="005D1193">
        <w:rPr>
          <w:rFonts w:ascii="Times New Roman" w:hAnsi="Times New Roman"/>
          <w:sz w:val="24"/>
          <w:szCs w:val="24"/>
        </w:rPr>
        <w:t>.</w:t>
      </w:r>
      <w:r w:rsidRPr="005D1193">
        <w:rPr>
          <w:rFonts w:ascii="Times New Roman" w:hAnsi="Times New Roman"/>
          <w:sz w:val="24"/>
          <w:szCs w:val="24"/>
        </w:rPr>
        <w:t xml:space="preserve"> третій рівень захисту –</w:t>
      </w:r>
      <w:r w:rsidR="003E325F" w:rsidRPr="005D1193">
        <w:rPr>
          <w:rFonts w:ascii="Times New Roman" w:hAnsi="Times New Roman"/>
          <w:sz w:val="24"/>
          <w:szCs w:val="24"/>
        </w:rPr>
        <w:t xml:space="preserve"> </w:t>
      </w:r>
      <w:r w:rsidR="001577F4" w:rsidRPr="005D1193">
        <w:rPr>
          <w:rFonts w:ascii="Times New Roman" w:hAnsi="Times New Roman"/>
          <w:sz w:val="24"/>
          <w:szCs w:val="24"/>
        </w:rPr>
        <w:t xml:space="preserve">припинення </w:t>
      </w:r>
      <w:r w:rsidR="00DA18F6" w:rsidRPr="005D1193">
        <w:rPr>
          <w:rFonts w:ascii="Times New Roman" w:hAnsi="Times New Roman"/>
          <w:sz w:val="24"/>
          <w:szCs w:val="24"/>
        </w:rPr>
        <w:t xml:space="preserve">Розрахунковим центром </w:t>
      </w:r>
      <w:r w:rsidR="001577F4" w:rsidRPr="005D1193">
        <w:rPr>
          <w:rFonts w:ascii="Times New Roman" w:hAnsi="Times New Roman"/>
          <w:sz w:val="24"/>
          <w:szCs w:val="24"/>
        </w:rPr>
        <w:t>зобов</w:t>
      </w:r>
      <w:r w:rsidR="005F41FA" w:rsidRPr="005D1193">
        <w:rPr>
          <w:rFonts w:ascii="Times New Roman" w:hAnsi="Times New Roman"/>
          <w:sz w:val="24"/>
          <w:szCs w:val="24"/>
        </w:rPr>
        <w:t>’</w:t>
      </w:r>
      <w:r w:rsidR="001577F4" w:rsidRPr="005D1193">
        <w:rPr>
          <w:rFonts w:ascii="Times New Roman" w:hAnsi="Times New Roman"/>
          <w:sz w:val="24"/>
          <w:szCs w:val="24"/>
        </w:rPr>
        <w:t>язань та</w:t>
      </w:r>
      <w:r w:rsidRPr="005D1193">
        <w:rPr>
          <w:rFonts w:ascii="Times New Roman" w:hAnsi="Times New Roman"/>
          <w:sz w:val="24"/>
          <w:szCs w:val="24"/>
        </w:rPr>
        <w:t xml:space="preserve"> списання активів з гарантійного забезпечення учасника клірингу</w:t>
      </w:r>
      <w:r w:rsidR="00AD1A92">
        <w:rPr>
          <w:rFonts w:ascii="Times New Roman" w:hAnsi="Times New Roman"/>
          <w:sz w:val="24"/>
          <w:szCs w:val="24"/>
        </w:rPr>
        <w:t xml:space="preserve"> </w:t>
      </w:r>
      <w:r w:rsidRPr="005D1193">
        <w:rPr>
          <w:rFonts w:ascii="Times New Roman" w:hAnsi="Times New Roman"/>
          <w:sz w:val="24"/>
          <w:szCs w:val="24"/>
        </w:rPr>
        <w:t>в разі невиконання ним своїх зобов</w:t>
      </w:r>
      <w:r w:rsidR="005F41FA" w:rsidRPr="005D1193">
        <w:rPr>
          <w:rFonts w:ascii="Times New Roman" w:hAnsi="Times New Roman"/>
          <w:sz w:val="24"/>
          <w:szCs w:val="24"/>
        </w:rPr>
        <w:t>’</w:t>
      </w:r>
      <w:r w:rsidRPr="005D1193">
        <w:rPr>
          <w:rFonts w:ascii="Times New Roman" w:hAnsi="Times New Roman"/>
          <w:sz w:val="24"/>
          <w:szCs w:val="24"/>
        </w:rPr>
        <w:t xml:space="preserve">язань з </w:t>
      </w:r>
      <w:r w:rsidRPr="005D1193">
        <w:rPr>
          <w:rFonts w:ascii="Times New Roman" w:eastAsia="TimesNewRoman" w:hAnsi="Times New Roman"/>
          <w:sz w:val="24"/>
          <w:szCs w:val="24"/>
          <w:lang w:eastAsia="ru-RU"/>
        </w:rPr>
        <w:t>оплати цінних</w:t>
      </w:r>
      <w:r w:rsidR="007C27F2" w:rsidRPr="005D1193">
        <w:rPr>
          <w:rFonts w:ascii="Times New Roman" w:eastAsia="TimesNewRoman" w:hAnsi="Times New Roman"/>
          <w:sz w:val="24"/>
          <w:szCs w:val="24"/>
          <w:lang w:eastAsia="ru-RU"/>
        </w:rPr>
        <w:t xml:space="preserve"> паперів</w:t>
      </w:r>
      <w:r w:rsidRPr="005D1193">
        <w:rPr>
          <w:rFonts w:ascii="Times New Roman" w:eastAsia="TimesNewRoman" w:hAnsi="Times New Roman"/>
          <w:sz w:val="24"/>
          <w:szCs w:val="24"/>
          <w:lang w:eastAsia="ru-RU"/>
        </w:rPr>
        <w:t xml:space="preserve"> чи їх поставки або маржинальної вимоги</w:t>
      </w:r>
      <w:r w:rsidR="003E325F"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 </w:t>
      </w:r>
      <w:r w:rsidR="001766A1" w:rsidRPr="005D1193">
        <w:rPr>
          <w:rFonts w:ascii="Times New Roman" w:hAnsi="Times New Roman"/>
          <w:sz w:val="24"/>
          <w:szCs w:val="24"/>
        </w:rPr>
        <w:t xml:space="preserve">або </w:t>
      </w:r>
      <w:r w:rsidR="003E325F" w:rsidRPr="005D1193">
        <w:rPr>
          <w:rFonts w:ascii="Times New Roman" w:eastAsia="TimesNewRoman" w:hAnsi="Times New Roman"/>
          <w:sz w:val="24"/>
          <w:szCs w:val="24"/>
          <w:lang w:eastAsia="ru-RU"/>
        </w:rPr>
        <w:t>неплатоспроможності учасника клірингу</w:t>
      </w:r>
      <w:r w:rsidR="00822AA4">
        <w:rPr>
          <w:rFonts w:ascii="Times New Roman" w:eastAsia="TimesNewRoman" w:hAnsi="Times New Roman"/>
          <w:sz w:val="24"/>
          <w:szCs w:val="24"/>
          <w:lang w:eastAsia="ru-RU"/>
        </w:rPr>
        <w:t xml:space="preserve"> / клієнта учасника клірингу</w:t>
      </w:r>
      <w:r w:rsidR="003E325F" w:rsidRPr="005D1193">
        <w:rPr>
          <w:rFonts w:ascii="Times New Roman" w:eastAsia="TimesNewRoman" w:hAnsi="Times New Roman"/>
          <w:sz w:val="24"/>
          <w:szCs w:val="24"/>
          <w:lang w:eastAsia="ru-RU"/>
        </w:rPr>
        <w:t xml:space="preserve"> </w:t>
      </w:r>
      <w:r w:rsidRPr="007B6694">
        <w:rPr>
          <w:rFonts w:ascii="Times New Roman" w:eastAsia="TimesNewRoman" w:hAnsi="Times New Roman"/>
          <w:sz w:val="24"/>
          <w:szCs w:val="24"/>
          <w:lang w:eastAsia="ru-RU"/>
        </w:rPr>
        <w:t>в якості штрафу.</w:t>
      </w:r>
    </w:p>
    <w:p w14:paraId="3675DF4D" w14:textId="04B46804" w:rsidR="00932095" w:rsidRPr="005D1193" w:rsidRDefault="00932095"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4.</w:t>
      </w:r>
      <w:r w:rsidR="00226280" w:rsidRPr="005D1193">
        <w:rPr>
          <w:rFonts w:ascii="Times New Roman" w:hAnsi="Times New Roman"/>
          <w:sz w:val="24"/>
          <w:szCs w:val="24"/>
        </w:rPr>
        <w:t xml:space="preserve">5. </w:t>
      </w:r>
      <w:r w:rsidRPr="005D1193">
        <w:rPr>
          <w:rFonts w:ascii="Times New Roman" w:hAnsi="Times New Roman"/>
          <w:sz w:val="24"/>
          <w:szCs w:val="24"/>
        </w:rPr>
        <w:t xml:space="preserve">Існуючі моделі управління ризиками Розрахункового центру не передбачають створення </w:t>
      </w:r>
      <w:r w:rsidR="0079136E" w:rsidRPr="005D1193">
        <w:rPr>
          <w:rFonts w:ascii="Times New Roman" w:hAnsi="Times New Roman"/>
          <w:sz w:val="24"/>
          <w:szCs w:val="24"/>
        </w:rPr>
        <w:t>г</w:t>
      </w:r>
      <w:r w:rsidRPr="005D1193">
        <w:rPr>
          <w:rFonts w:ascii="Times New Roman" w:hAnsi="Times New Roman"/>
          <w:sz w:val="24"/>
          <w:szCs w:val="24"/>
        </w:rPr>
        <w:t>арантійного фонду.</w:t>
      </w:r>
    </w:p>
    <w:p w14:paraId="23849095" w14:textId="77777777" w:rsidR="000F63F3" w:rsidRPr="005D1193" w:rsidRDefault="000F63F3" w:rsidP="000A39DA">
      <w:pPr>
        <w:tabs>
          <w:tab w:val="left" w:pos="993"/>
          <w:tab w:val="left" w:pos="1560"/>
        </w:tabs>
        <w:spacing w:after="120" w:line="240" w:lineRule="auto"/>
        <w:ind w:firstLine="709"/>
        <w:jc w:val="both"/>
        <w:rPr>
          <w:rFonts w:ascii="Times New Roman" w:hAnsi="Times New Roman"/>
          <w:sz w:val="24"/>
          <w:szCs w:val="24"/>
        </w:rPr>
      </w:pPr>
    </w:p>
    <w:p w14:paraId="1999E547" w14:textId="77777777" w:rsidR="00461444" w:rsidRPr="005D1193" w:rsidRDefault="00D35EA1" w:rsidP="00947CE3">
      <w:pPr>
        <w:tabs>
          <w:tab w:val="left" w:pos="851"/>
          <w:tab w:val="left" w:pos="993"/>
        </w:tabs>
        <w:spacing w:after="120" w:line="240" w:lineRule="auto"/>
        <w:jc w:val="center"/>
        <w:rPr>
          <w:rFonts w:ascii="Times New Roman" w:hAnsi="Times New Roman"/>
          <w:b/>
          <w:sz w:val="24"/>
          <w:szCs w:val="24"/>
        </w:rPr>
      </w:pPr>
      <w:r w:rsidRPr="005D1193">
        <w:rPr>
          <w:rFonts w:ascii="Times New Roman" w:hAnsi="Times New Roman"/>
          <w:b/>
          <w:sz w:val="24"/>
          <w:szCs w:val="24"/>
        </w:rPr>
        <w:t>5</w:t>
      </w:r>
      <w:r w:rsidR="00461444" w:rsidRPr="005D1193">
        <w:rPr>
          <w:rFonts w:ascii="Times New Roman" w:hAnsi="Times New Roman"/>
          <w:b/>
          <w:sz w:val="24"/>
          <w:szCs w:val="24"/>
        </w:rPr>
        <w:t>. Заходи з управління ризиками та гарантування розрахунків</w:t>
      </w:r>
    </w:p>
    <w:p w14:paraId="3FFD97C7" w14:textId="3CFFF99B" w:rsidR="00461444" w:rsidRPr="005D1193" w:rsidRDefault="00320C9B"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5</w:t>
      </w:r>
      <w:r w:rsidR="00694C38" w:rsidRPr="005D1193">
        <w:rPr>
          <w:rFonts w:ascii="Times New Roman" w:hAnsi="Times New Roman"/>
          <w:sz w:val="24"/>
          <w:szCs w:val="24"/>
        </w:rPr>
        <w:t>.1.</w:t>
      </w:r>
      <w:r w:rsidR="00F45C51" w:rsidRPr="005D1193">
        <w:rPr>
          <w:rFonts w:ascii="Times New Roman" w:hAnsi="Times New Roman"/>
          <w:sz w:val="24"/>
          <w:szCs w:val="24"/>
        </w:rPr>
        <w:t xml:space="preserve"> </w:t>
      </w:r>
      <w:r w:rsidR="00461444" w:rsidRPr="005D1193">
        <w:rPr>
          <w:rFonts w:ascii="Times New Roman" w:hAnsi="Times New Roman"/>
          <w:sz w:val="24"/>
          <w:szCs w:val="24"/>
        </w:rPr>
        <w:t xml:space="preserve">З метою гарантування здійснення розрахунків та </w:t>
      </w:r>
      <w:r w:rsidR="00461444" w:rsidRPr="005D1193">
        <w:rPr>
          <w:rFonts w:ascii="Times New Roman" w:eastAsia="Times New Roman" w:hAnsi="Times New Roman"/>
          <w:color w:val="000000"/>
          <w:sz w:val="24"/>
          <w:szCs w:val="24"/>
          <w:lang w:eastAsia="ru-RU"/>
        </w:rPr>
        <w:t xml:space="preserve">зниження </w:t>
      </w:r>
      <w:r w:rsidR="00DE2787" w:rsidRPr="005D1193">
        <w:rPr>
          <w:rFonts w:ascii="Times New Roman" w:eastAsia="Times New Roman" w:hAnsi="Times New Roman"/>
          <w:color w:val="000000"/>
          <w:sz w:val="24"/>
          <w:szCs w:val="24"/>
          <w:lang w:eastAsia="ru-RU"/>
        </w:rPr>
        <w:t>вірогідності</w:t>
      </w:r>
      <w:r w:rsidR="00461444" w:rsidRPr="005D1193">
        <w:rPr>
          <w:rFonts w:ascii="Times New Roman" w:eastAsia="Times New Roman" w:hAnsi="Times New Roman"/>
          <w:color w:val="000000"/>
          <w:sz w:val="24"/>
          <w:szCs w:val="24"/>
          <w:lang w:eastAsia="ru-RU"/>
        </w:rPr>
        <w:t xml:space="preserve"> настання </w:t>
      </w:r>
      <w:r w:rsidR="008628D7" w:rsidRPr="005D1193">
        <w:rPr>
          <w:rFonts w:ascii="Times New Roman" w:hAnsi="Times New Roman"/>
          <w:sz w:val="24"/>
          <w:szCs w:val="24"/>
        </w:rPr>
        <w:t>потенційних втрат</w:t>
      </w:r>
      <w:r w:rsidR="003B2EBD" w:rsidRPr="005D1193">
        <w:rPr>
          <w:rFonts w:ascii="Times New Roman" w:hAnsi="Times New Roman"/>
          <w:sz w:val="24"/>
          <w:szCs w:val="24"/>
        </w:rPr>
        <w:t xml:space="preserve"> </w:t>
      </w:r>
      <w:r w:rsidR="00461444" w:rsidRPr="005D1193">
        <w:rPr>
          <w:rFonts w:ascii="Times New Roman" w:hAnsi="Times New Roman"/>
          <w:sz w:val="24"/>
          <w:szCs w:val="24"/>
        </w:rPr>
        <w:t>Розрахункови</w:t>
      </w:r>
      <w:r w:rsidR="00F14427" w:rsidRPr="005D1193">
        <w:rPr>
          <w:rFonts w:ascii="Times New Roman" w:hAnsi="Times New Roman"/>
          <w:sz w:val="24"/>
          <w:szCs w:val="24"/>
        </w:rPr>
        <w:t>й</w:t>
      </w:r>
      <w:r w:rsidR="00461444" w:rsidRPr="005D1193">
        <w:rPr>
          <w:rFonts w:ascii="Times New Roman" w:hAnsi="Times New Roman"/>
          <w:sz w:val="24"/>
          <w:szCs w:val="24"/>
        </w:rPr>
        <w:t xml:space="preserve"> центр</w:t>
      </w:r>
      <w:r w:rsidR="00F14427" w:rsidRPr="005D1193">
        <w:rPr>
          <w:rFonts w:ascii="Times New Roman" w:hAnsi="Times New Roman"/>
          <w:sz w:val="24"/>
          <w:szCs w:val="24"/>
        </w:rPr>
        <w:t xml:space="preserve"> при реалізації п</w:t>
      </w:r>
      <w:r w:rsidR="00694C38" w:rsidRPr="005D1193">
        <w:rPr>
          <w:rFonts w:ascii="Times New Roman" w:hAnsi="Times New Roman"/>
          <w:sz w:val="24"/>
          <w:szCs w:val="24"/>
        </w:rPr>
        <w:t xml:space="preserve">ершої моделі управління </w:t>
      </w:r>
      <w:r w:rsidR="00461444" w:rsidRPr="005D1193">
        <w:rPr>
          <w:rFonts w:ascii="Times New Roman" w:hAnsi="Times New Roman"/>
          <w:sz w:val="24"/>
          <w:szCs w:val="24"/>
        </w:rPr>
        <w:t>ризик</w:t>
      </w:r>
      <w:r w:rsidR="00764B9D" w:rsidRPr="005D1193">
        <w:rPr>
          <w:rFonts w:ascii="Times New Roman" w:hAnsi="Times New Roman"/>
          <w:sz w:val="24"/>
          <w:szCs w:val="24"/>
        </w:rPr>
        <w:t>ами</w:t>
      </w:r>
      <w:r w:rsidR="00F14427" w:rsidRPr="005D1193">
        <w:rPr>
          <w:rFonts w:ascii="Times New Roman" w:hAnsi="Times New Roman"/>
          <w:sz w:val="24"/>
          <w:szCs w:val="24"/>
        </w:rPr>
        <w:t xml:space="preserve"> здійснює наступні</w:t>
      </w:r>
      <w:r w:rsidR="00E83650" w:rsidRPr="005D1193">
        <w:rPr>
          <w:rFonts w:ascii="Times New Roman" w:hAnsi="Times New Roman"/>
          <w:sz w:val="24"/>
          <w:szCs w:val="24"/>
        </w:rPr>
        <w:t xml:space="preserve"> заходи</w:t>
      </w:r>
      <w:r w:rsidR="00461444" w:rsidRPr="005D1193">
        <w:rPr>
          <w:rFonts w:ascii="Times New Roman" w:hAnsi="Times New Roman"/>
          <w:sz w:val="24"/>
          <w:szCs w:val="24"/>
        </w:rPr>
        <w:t>:</w:t>
      </w:r>
    </w:p>
    <w:p w14:paraId="7EB495F7" w14:textId="77777777" w:rsidR="006364AB" w:rsidRPr="005D1193" w:rsidRDefault="00654E06"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встановлення</w:t>
      </w:r>
      <w:r w:rsidR="00DE2787" w:rsidRPr="005D1193">
        <w:rPr>
          <w:sz w:val="24"/>
          <w:szCs w:val="24"/>
          <w:lang w:val="uk-UA"/>
        </w:rPr>
        <w:t xml:space="preserve"> договірних відносин </w:t>
      </w:r>
      <w:r w:rsidR="006364AB" w:rsidRPr="005D1193">
        <w:rPr>
          <w:sz w:val="24"/>
          <w:szCs w:val="24"/>
          <w:lang w:val="uk-UA"/>
        </w:rPr>
        <w:t xml:space="preserve">виключно з юридичними особами, які </w:t>
      </w:r>
      <w:r w:rsidR="00544F57" w:rsidRPr="005D1193">
        <w:rPr>
          <w:sz w:val="24"/>
          <w:szCs w:val="24"/>
          <w:lang w:val="uk-UA"/>
        </w:rPr>
        <w:t xml:space="preserve">відповідають вимогам Розрахункового центру </w:t>
      </w:r>
      <w:r w:rsidR="006364AB" w:rsidRPr="005D1193">
        <w:rPr>
          <w:sz w:val="24"/>
          <w:szCs w:val="24"/>
          <w:lang w:val="uk-UA"/>
        </w:rPr>
        <w:t>для набуття статусу клієнта та учасника клірингу;</w:t>
      </w:r>
    </w:p>
    <w:p w14:paraId="70EA1B6A" w14:textId="06A8C08E" w:rsidR="00DE2787" w:rsidRPr="005D1193" w:rsidRDefault="00654E06"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п</w:t>
      </w:r>
      <w:r w:rsidR="00DE2787" w:rsidRPr="005D1193">
        <w:rPr>
          <w:sz w:val="24"/>
          <w:szCs w:val="24"/>
          <w:lang w:val="uk-UA"/>
        </w:rPr>
        <w:t>рийняття учасником клірингу на себе зобов</w:t>
      </w:r>
      <w:r w:rsidR="005F41FA" w:rsidRPr="005D1193">
        <w:rPr>
          <w:sz w:val="24"/>
          <w:szCs w:val="24"/>
          <w:lang w:val="uk-UA"/>
        </w:rPr>
        <w:t>’</w:t>
      </w:r>
      <w:r w:rsidR="00DE2787" w:rsidRPr="005D1193">
        <w:rPr>
          <w:sz w:val="24"/>
          <w:szCs w:val="24"/>
          <w:lang w:val="uk-UA"/>
        </w:rPr>
        <w:t xml:space="preserve">язань з дотримання процедур здійснення клірингу та розрахунків, що визначені у внутрішніх документах Розрахункового центру; </w:t>
      </w:r>
    </w:p>
    <w:p w14:paraId="602AA6EB" w14:textId="6BA9D48E" w:rsidR="00461444" w:rsidRPr="005D1193" w:rsidRDefault="00654E06"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в</w:t>
      </w:r>
      <w:r w:rsidR="006364AB" w:rsidRPr="005D1193">
        <w:rPr>
          <w:sz w:val="24"/>
          <w:szCs w:val="24"/>
          <w:lang w:val="uk-UA"/>
        </w:rPr>
        <w:t xml:space="preserve">иконання учасником клірингу процедур здійснення клірингу, визначених Розрахунковим центром </w:t>
      </w:r>
      <w:r w:rsidR="00716217" w:rsidRPr="005D1193">
        <w:rPr>
          <w:sz w:val="24"/>
          <w:szCs w:val="24"/>
          <w:lang w:val="uk-UA"/>
        </w:rPr>
        <w:t>та які обов</w:t>
      </w:r>
      <w:r w:rsidR="005F41FA" w:rsidRPr="005D1193">
        <w:rPr>
          <w:sz w:val="24"/>
          <w:szCs w:val="24"/>
          <w:lang w:val="uk-UA"/>
        </w:rPr>
        <w:t>’</w:t>
      </w:r>
      <w:r w:rsidR="00716217" w:rsidRPr="005D1193">
        <w:rPr>
          <w:sz w:val="24"/>
          <w:szCs w:val="24"/>
          <w:lang w:val="uk-UA"/>
        </w:rPr>
        <w:t>язково включають необхідність сто</w:t>
      </w:r>
      <w:r w:rsidR="006364AB" w:rsidRPr="005D1193">
        <w:rPr>
          <w:sz w:val="24"/>
          <w:szCs w:val="24"/>
          <w:lang w:val="uk-UA"/>
        </w:rPr>
        <w:t>відс</w:t>
      </w:r>
      <w:r w:rsidR="00716217" w:rsidRPr="005D1193">
        <w:rPr>
          <w:sz w:val="24"/>
          <w:szCs w:val="24"/>
          <w:lang w:val="uk-UA"/>
        </w:rPr>
        <w:t>откового</w:t>
      </w:r>
      <w:r w:rsidR="00443ECF" w:rsidRPr="005D1193">
        <w:rPr>
          <w:sz w:val="24"/>
          <w:szCs w:val="24"/>
          <w:lang w:val="uk-UA"/>
        </w:rPr>
        <w:t xml:space="preserve"> </w:t>
      </w:r>
      <w:r w:rsidR="00461444" w:rsidRPr="005D1193">
        <w:rPr>
          <w:sz w:val="24"/>
          <w:szCs w:val="24"/>
          <w:lang w:val="uk-UA"/>
        </w:rPr>
        <w:t>попереднього депонування та резервування активів учасником клірингу</w:t>
      </w:r>
      <w:r w:rsidR="00544F57" w:rsidRPr="005D1193">
        <w:rPr>
          <w:sz w:val="24"/>
          <w:szCs w:val="24"/>
          <w:lang w:val="uk-UA"/>
        </w:rPr>
        <w:t xml:space="preserve"> </w:t>
      </w:r>
      <w:r w:rsidR="00461444" w:rsidRPr="005D1193">
        <w:rPr>
          <w:sz w:val="24"/>
          <w:szCs w:val="24"/>
          <w:lang w:val="uk-UA"/>
        </w:rPr>
        <w:t>/</w:t>
      </w:r>
      <w:r w:rsidR="00544F57" w:rsidRPr="005D1193">
        <w:rPr>
          <w:sz w:val="24"/>
          <w:szCs w:val="24"/>
          <w:lang w:val="uk-UA"/>
        </w:rPr>
        <w:t xml:space="preserve"> </w:t>
      </w:r>
      <w:r w:rsidR="00461444" w:rsidRPr="005D1193">
        <w:rPr>
          <w:sz w:val="24"/>
          <w:szCs w:val="24"/>
          <w:lang w:val="uk-UA"/>
        </w:rPr>
        <w:t>клієнтом учасника клірингу</w:t>
      </w:r>
      <w:r w:rsidR="00544F57" w:rsidRPr="005D1193">
        <w:rPr>
          <w:sz w:val="24"/>
          <w:szCs w:val="24"/>
          <w:lang w:val="uk-UA"/>
        </w:rPr>
        <w:t xml:space="preserve"> </w:t>
      </w:r>
      <w:r w:rsidR="00461444" w:rsidRPr="005D1193">
        <w:rPr>
          <w:sz w:val="24"/>
          <w:szCs w:val="24"/>
          <w:lang w:val="uk-UA"/>
        </w:rPr>
        <w:t xml:space="preserve">для укладання </w:t>
      </w:r>
      <w:r w:rsidR="00716217" w:rsidRPr="005D1193">
        <w:rPr>
          <w:sz w:val="24"/>
          <w:szCs w:val="24"/>
          <w:lang w:val="uk-UA"/>
        </w:rPr>
        <w:t xml:space="preserve">та/або виконання </w:t>
      </w:r>
      <w:r w:rsidR="00461444" w:rsidRPr="005D1193">
        <w:rPr>
          <w:sz w:val="24"/>
          <w:szCs w:val="24"/>
          <w:lang w:val="uk-UA"/>
        </w:rPr>
        <w:t xml:space="preserve">правочинів щодо цінних паперів </w:t>
      </w:r>
      <w:r w:rsidR="00716217" w:rsidRPr="005D1193">
        <w:rPr>
          <w:sz w:val="24"/>
          <w:szCs w:val="24"/>
          <w:lang w:val="uk-UA"/>
        </w:rPr>
        <w:t>до моменту отримання Розрахунковим центром інформації про такий правочин</w:t>
      </w:r>
      <w:r w:rsidR="00461444" w:rsidRPr="005D1193">
        <w:rPr>
          <w:sz w:val="24"/>
          <w:szCs w:val="24"/>
          <w:lang w:val="uk-UA"/>
        </w:rPr>
        <w:t>:</w:t>
      </w:r>
    </w:p>
    <w:p w14:paraId="5F52777C" w14:textId="77777777" w:rsidR="00461444" w:rsidRPr="005D1193" w:rsidRDefault="00461444" w:rsidP="000A39DA">
      <w:pPr>
        <w:numPr>
          <w:ilvl w:val="1"/>
          <w:numId w:val="32"/>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цінних паперів – на рахунку у цінних паперах у депозитарній установі, що здійснює депозитарне обслуговування учасника клірингу</w:t>
      </w:r>
      <w:r w:rsidR="009721A7" w:rsidRPr="005D1193">
        <w:rPr>
          <w:rFonts w:ascii="Times New Roman" w:hAnsi="Times New Roman"/>
          <w:sz w:val="24"/>
          <w:szCs w:val="24"/>
        </w:rPr>
        <w:t xml:space="preserve"> </w:t>
      </w:r>
      <w:r w:rsidRPr="005D1193">
        <w:rPr>
          <w:rFonts w:ascii="Times New Roman" w:hAnsi="Times New Roman"/>
          <w:sz w:val="24"/>
          <w:szCs w:val="24"/>
        </w:rPr>
        <w:t>/</w:t>
      </w:r>
      <w:r w:rsidR="009721A7" w:rsidRPr="005D1193">
        <w:rPr>
          <w:rFonts w:ascii="Times New Roman" w:hAnsi="Times New Roman"/>
          <w:sz w:val="24"/>
          <w:szCs w:val="24"/>
        </w:rPr>
        <w:t xml:space="preserve"> </w:t>
      </w:r>
      <w:r w:rsidRPr="005D1193">
        <w:rPr>
          <w:rFonts w:ascii="Times New Roman" w:hAnsi="Times New Roman"/>
          <w:sz w:val="24"/>
          <w:szCs w:val="24"/>
        </w:rPr>
        <w:t>клієнта учасника клірингу</w:t>
      </w:r>
      <w:r w:rsidR="00544F57" w:rsidRPr="005D1193">
        <w:rPr>
          <w:rFonts w:ascii="Times New Roman" w:hAnsi="Times New Roman"/>
          <w:sz w:val="24"/>
          <w:szCs w:val="24"/>
        </w:rPr>
        <w:t xml:space="preserve"> </w:t>
      </w:r>
      <w:r w:rsidR="00716217" w:rsidRPr="005D1193">
        <w:rPr>
          <w:rFonts w:ascii="Times New Roman" w:hAnsi="Times New Roman"/>
          <w:sz w:val="24"/>
          <w:szCs w:val="24"/>
        </w:rPr>
        <w:t>на відповідному балансовому рахунку</w:t>
      </w:r>
      <w:r w:rsidR="00B74A8D" w:rsidRPr="005D1193">
        <w:rPr>
          <w:rFonts w:ascii="Times New Roman" w:hAnsi="Times New Roman"/>
          <w:sz w:val="24"/>
          <w:szCs w:val="24"/>
        </w:rPr>
        <w:t xml:space="preserve"> депозитарного обліку</w:t>
      </w:r>
      <w:r w:rsidR="00716217" w:rsidRPr="005D1193">
        <w:rPr>
          <w:rFonts w:ascii="Times New Roman" w:hAnsi="Times New Roman"/>
          <w:sz w:val="24"/>
          <w:szCs w:val="24"/>
        </w:rPr>
        <w:t>, який надає виключне право Розрахункового центру на управління даними цінними паперами</w:t>
      </w:r>
      <w:r w:rsidRPr="005D1193">
        <w:rPr>
          <w:rFonts w:ascii="Times New Roman" w:hAnsi="Times New Roman"/>
          <w:sz w:val="24"/>
          <w:szCs w:val="24"/>
        </w:rPr>
        <w:t xml:space="preserve">; </w:t>
      </w:r>
    </w:p>
    <w:p w14:paraId="79BEC262" w14:textId="77777777" w:rsidR="00461444" w:rsidRPr="005D1193" w:rsidRDefault="00461444" w:rsidP="000A39DA">
      <w:pPr>
        <w:numPr>
          <w:ilvl w:val="1"/>
          <w:numId w:val="32"/>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 xml:space="preserve">коштів – на рахунку для здійснення розрахунків </w:t>
      </w:r>
      <w:r w:rsidR="00544F57" w:rsidRPr="005D1193">
        <w:rPr>
          <w:rFonts w:ascii="Times New Roman" w:hAnsi="Times New Roman"/>
          <w:sz w:val="24"/>
          <w:szCs w:val="24"/>
        </w:rPr>
        <w:t xml:space="preserve">за правочинами щодо цінних паперів, відкритому </w:t>
      </w:r>
      <w:r w:rsidRPr="005D1193">
        <w:rPr>
          <w:rFonts w:ascii="Times New Roman" w:hAnsi="Times New Roman"/>
          <w:sz w:val="24"/>
          <w:szCs w:val="24"/>
        </w:rPr>
        <w:t>у Розрахунковому центрі</w:t>
      </w:r>
      <w:r w:rsidR="00544F57" w:rsidRPr="005D1193">
        <w:rPr>
          <w:rFonts w:ascii="Times New Roman" w:hAnsi="Times New Roman"/>
          <w:sz w:val="24"/>
          <w:szCs w:val="24"/>
        </w:rPr>
        <w:t xml:space="preserve"> для обліку коштів учасників клірингу / клієнтів учасників клірингу, призначених для здійснення розрахунків за  правочинами щодо цінних паперів.</w:t>
      </w:r>
    </w:p>
    <w:p w14:paraId="263430D9" w14:textId="104D18FB" w:rsidR="00461444" w:rsidRPr="005D1193" w:rsidRDefault="00320C9B"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5</w:t>
      </w:r>
      <w:r w:rsidR="00694C38" w:rsidRPr="005D1193">
        <w:rPr>
          <w:rFonts w:ascii="Times New Roman" w:hAnsi="Times New Roman"/>
          <w:sz w:val="24"/>
          <w:szCs w:val="24"/>
        </w:rPr>
        <w:t>.2. І</w:t>
      </w:r>
      <w:r w:rsidR="00461444" w:rsidRPr="005D1193">
        <w:rPr>
          <w:rFonts w:ascii="Times New Roman" w:hAnsi="Times New Roman"/>
          <w:sz w:val="24"/>
          <w:szCs w:val="24"/>
        </w:rPr>
        <w:t xml:space="preserve">нформація про </w:t>
      </w:r>
      <w:r w:rsidR="009721A7" w:rsidRPr="005D1193">
        <w:rPr>
          <w:rFonts w:ascii="Times New Roman" w:hAnsi="Times New Roman"/>
          <w:sz w:val="24"/>
          <w:szCs w:val="24"/>
        </w:rPr>
        <w:t xml:space="preserve">стовідсоткове попереднє депонування та резервування </w:t>
      </w:r>
      <w:r w:rsidR="00461444" w:rsidRPr="005D1193">
        <w:rPr>
          <w:rFonts w:ascii="Times New Roman" w:hAnsi="Times New Roman"/>
          <w:sz w:val="24"/>
          <w:szCs w:val="24"/>
        </w:rPr>
        <w:t>актив</w:t>
      </w:r>
      <w:r w:rsidR="009721A7" w:rsidRPr="005D1193">
        <w:rPr>
          <w:rFonts w:ascii="Times New Roman" w:hAnsi="Times New Roman"/>
          <w:sz w:val="24"/>
          <w:szCs w:val="24"/>
        </w:rPr>
        <w:t>ів</w:t>
      </w:r>
      <w:r w:rsidR="00461444" w:rsidRPr="005D1193">
        <w:rPr>
          <w:rFonts w:ascii="Times New Roman" w:hAnsi="Times New Roman"/>
          <w:sz w:val="24"/>
          <w:szCs w:val="24"/>
        </w:rPr>
        <w:t xml:space="preserve"> відображається на клірингових рахунках</w:t>
      </w:r>
      <w:r w:rsidR="00544F57" w:rsidRPr="005D1193">
        <w:rPr>
          <w:rFonts w:ascii="Times New Roman" w:hAnsi="Times New Roman"/>
          <w:sz w:val="24"/>
          <w:szCs w:val="24"/>
        </w:rPr>
        <w:t xml:space="preserve"> </w:t>
      </w:r>
      <w:r w:rsidR="00461444" w:rsidRPr="005D1193">
        <w:rPr>
          <w:rFonts w:ascii="Times New Roman" w:hAnsi="Times New Roman"/>
          <w:sz w:val="24"/>
          <w:szCs w:val="24"/>
        </w:rPr>
        <w:t>/</w:t>
      </w:r>
      <w:r w:rsidR="00544F57" w:rsidRPr="005D1193">
        <w:rPr>
          <w:rFonts w:ascii="Times New Roman" w:hAnsi="Times New Roman"/>
          <w:sz w:val="24"/>
          <w:szCs w:val="24"/>
        </w:rPr>
        <w:t xml:space="preserve"> </w:t>
      </w:r>
      <w:r w:rsidR="00461444" w:rsidRPr="005D1193">
        <w:rPr>
          <w:rFonts w:ascii="Times New Roman" w:hAnsi="Times New Roman"/>
          <w:sz w:val="24"/>
          <w:szCs w:val="24"/>
        </w:rPr>
        <w:t>субрахунках учасників клірингу, відкритих у Розрахунковому центрі</w:t>
      </w:r>
      <w:r w:rsidR="00694C38" w:rsidRPr="005D1193">
        <w:rPr>
          <w:rFonts w:ascii="Times New Roman" w:hAnsi="Times New Roman"/>
          <w:sz w:val="24"/>
          <w:szCs w:val="24"/>
        </w:rPr>
        <w:t xml:space="preserve">. Виключно після </w:t>
      </w:r>
      <w:r w:rsidR="00E83650" w:rsidRPr="005D1193">
        <w:rPr>
          <w:rFonts w:ascii="Times New Roman" w:hAnsi="Times New Roman"/>
          <w:sz w:val="24"/>
          <w:szCs w:val="24"/>
        </w:rPr>
        <w:t>цього</w:t>
      </w:r>
      <w:r w:rsidR="00694C38" w:rsidRPr="005D1193">
        <w:rPr>
          <w:rFonts w:ascii="Times New Roman" w:hAnsi="Times New Roman"/>
          <w:sz w:val="24"/>
          <w:szCs w:val="24"/>
        </w:rPr>
        <w:t xml:space="preserve"> Розрахунковий центр здійснює прийом та обробку </w:t>
      </w:r>
      <w:r w:rsidR="00665D24" w:rsidRPr="005D1193">
        <w:rPr>
          <w:rFonts w:ascii="Times New Roman" w:hAnsi="Times New Roman"/>
          <w:sz w:val="24"/>
          <w:szCs w:val="24"/>
        </w:rPr>
        <w:t xml:space="preserve">відомості </w:t>
      </w:r>
      <w:r w:rsidR="00694C38" w:rsidRPr="005D1193">
        <w:rPr>
          <w:rFonts w:ascii="Times New Roman" w:hAnsi="Times New Roman"/>
          <w:sz w:val="24"/>
          <w:szCs w:val="24"/>
        </w:rPr>
        <w:t>біржових правочинів</w:t>
      </w:r>
      <w:r w:rsidR="009721A7" w:rsidRPr="005D1193">
        <w:rPr>
          <w:rFonts w:ascii="Times New Roman" w:hAnsi="Times New Roman"/>
          <w:sz w:val="24"/>
          <w:szCs w:val="24"/>
        </w:rPr>
        <w:t>,</w:t>
      </w:r>
      <w:r w:rsidR="00694C38" w:rsidRPr="005D1193">
        <w:rPr>
          <w:rFonts w:ascii="Times New Roman" w:hAnsi="Times New Roman"/>
          <w:sz w:val="24"/>
          <w:szCs w:val="24"/>
        </w:rPr>
        <w:t xml:space="preserve"> за якими обов</w:t>
      </w:r>
      <w:r w:rsidR="005F41FA" w:rsidRPr="005D1193">
        <w:rPr>
          <w:rFonts w:ascii="Times New Roman" w:hAnsi="Times New Roman"/>
          <w:sz w:val="24"/>
          <w:szCs w:val="24"/>
        </w:rPr>
        <w:t>’</w:t>
      </w:r>
      <w:r w:rsidR="00694C38" w:rsidRPr="005D1193">
        <w:rPr>
          <w:rFonts w:ascii="Times New Roman" w:hAnsi="Times New Roman"/>
          <w:sz w:val="24"/>
          <w:szCs w:val="24"/>
        </w:rPr>
        <w:t>язком Розрахункового центру є їх виконання в частині поставки цінних паперів та оплати</w:t>
      </w:r>
      <w:r w:rsidR="008B4D7A" w:rsidRPr="005D1193">
        <w:rPr>
          <w:rFonts w:ascii="Times New Roman" w:hAnsi="Times New Roman"/>
          <w:sz w:val="24"/>
          <w:szCs w:val="24"/>
        </w:rPr>
        <w:t xml:space="preserve"> згідно з внутрішніми документами Розрахункового центру</w:t>
      </w:r>
      <w:r w:rsidR="009721A7" w:rsidRPr="005D1193">
        <w:rPr>
          <w:rFonts w:ascii="Times New Roman" w:hAnsi="Times New Roman"/>
          <w:sz w:val="24"/>
          <w:szCs w:val="24"/>
        </w:rPr>
        <w:t>.</w:t>
      </w:r>
    </w:p>
    <w:p w14:paraId="3B42C96D" w14:textId="71EB09E3" w:rsidR="006E356B" w:rsidRPr="005D1193" w:rsidRDefault="00320C9B"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5</w:t>
      </w:r>
      <w:r w:rsidR="006E356B" w:rsidRPr="005D1193">
        <w:rPr>
          <w:rFonts w:ascii="Times New Roman" w:hAnsi="Times New Roman"/>
          <w:sz w:val="24"/>
          <w:szCs w:val="24"/>
        </w:rPr>
        <w:t xml:space="preserve">.3. З метою гарантування здійснення розрахунків та </w:t>
      </w:r>
      <w:r w:rsidR="006E356B" w:rsidRPr="005D1193">
        <w:rPr>
          <w:rFonts w:ascii="Times New Roman" w:eastAsia="Times New Roman" w:hAnsi="Times New Roman"/>
          <w:color w:val="000000"/>
          <w:sz w:val="24"/>
          <w:szCs w:val="24"/>
          <w:lang w:eastAsia="ru-RU"/>
        </w:rPr>
        <w:t xml:space="preserve">зниження </w:t>
      </w:r>
      <w:r w:rsidR="00B74A8D" w:rsidRPr="005D1193">
        <w:rPr>
          <w:rFonts w:ascii="Times New Roman" w:eastAsia="Times New Roman" w:hAnsi="Times New Roman"/>
          <w:color w:val="000000"/>
          <w:sz w:val="24"/>
          <w:szCs w:val="24"/>
          <w:lang w:eastAsia="ru-RU"/>
        </w:rPr>
        <w:t xml:space="preserve">кредитного </w:t>
      </w:r>
      <w:r w:rsidR="006E356B" w:rsidRPr="005D1193">
        <w:rPr>
          <w:rFonts w:ascii="Times New Roman" w:hAnsi="Times New Roman"/>
          <w:sz w:val="24"/>
          <w:szCs w:val="24"/>
        </w:rPr>
        <w:t>ризику</w:t>
      </w:r>
      <w:r w:rsidR="003B2EBD" w:rsidRPr="005D1193">
        <w:rPr>
          <w:rFonts w:ascii="Times New Roman" w:hAnsi="Times New Roman"/>
          <w:sz w:val="24"/>
          <w:szCs w:val="24"/>
        </w:rPr>
        <w:t xml:space="preserve"> </w:t>
      </w:r>
      <w:r w:rsidR="006E356B" w:rsidRPr="005D1193">
        <w:rPr>
          <w:rFonts w:ascii="Times New Roman" w:hAnsi="Times New Roman"/>
          <w:sz w:val="24"/>
          <w:szCs w:val="24"/>
        </w:rPr>
        <w:t xml:space="preserve">Розрахунковий центр при реалізації </w:t>
      </w:r>
      <w:r w:rsidR="00F42F66" w:rsidRPr="005D1193">
        <w:rPr>
          <w:rFonts w:ascii="Times New Roman" w:hAnsi="Times New Roman"/>
          <w:sz w:val="24"/>
          <w:szCs w:val="24"/>
        </w:rPr>
        <w:t xml:space="preserve">другої </w:t>
      </w:r>
      <w:r w:rsidR="006E356B" w:rsidRPr="005D1193">
        <w:rPr>
          <w:rFonts w:ascii="Times New Roman" w:hAnsi="Times New Roman"/>
          <w:sz w:val="24"/>
          <w:szCs w:val="24"/>
        </w:rPr>
        <w:t>моделі управління ризик</w:t>
      </w:r>
      <w:r w:rsidR="00764B9D" w:rsidRPr="005D1193">
        <w:rPr>
          <w:rFonts w:ascii="Times New Roman" w:hAnsi="Times New Roman"/>
          <w:sz w:val="24"/>
          <w:szCs w:val="24"/>
        </w:rPr>
        <w:t>ами</w:t>
      </w:r>
      <w:r w:rsidR="006E356B" w:rsidRPr="005D1193">
        <w:rPr>
          <w:rFonts w:ascii="Times New Roman" w:hAnsi="Times New Roman"/>
          <w:sz w:val="24"/>
          <w:szCs w:val="24"/>
        </w:rPr>
        <w:t xml:space="preserve"> здійснює наступні</w:t>
      </w:r>
      <w:r w:rsidR="00E83650" w:rsidRPr="005D1193">
        <w:rPr>
          <w:rFonts w:ascii="Times New Roman" w:hAnsi="Times New Roman"/>
          <w:sz w:val="24"/>
          <w:szCs w:val="24"/>
        </w:rPr>
        <w:t xml:space="preserve"> заходи</w:t>
      </w:r>
      <w:r w:rsidR="006E356B" w:rsidRPr="005D1193">
        <w:rPr>
          <w:rFonts w:ascii="Times New Roman" w:hAnsi="Times New Roman"/>
          <w:sz w:val="24"/>
          <w:szCs w:val="24"/>
        </w:rPr>
        <w:t>:</w:t>
      </w:r>
    </w:p>
    <w:p w14:paraId="0C363736" w14:textId="77777777" w:rsidR="00ED3527" w:rsidRPr="005D1193" w:rsidRDefault="00ED3527"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встановлює вимоги до учасників клірингу;</w:t>
      </w:r>
    </w:p>
    <w:p w14:paraId="16F0D994" w14:textId="38BCC9D7" w:rsidR="00ED3527" w:rsidRPr="005D1193" w:rsidRDefault="00ED3527"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 xml:space="preserve">встановлює вимоги до параметрів </w:t>
      </w:r>
      <w:r w:rsidR="006A3F2D" w:rsidRPr="005D1193">
        <w:rPr>
          <w:sz w:val="24"/>
          <w:szCs w:val="24"/>
          <w:lang w:val="uk-UA"/>
        </w:rPr>
        <w:t>заявок</w:t>
      </w:r>
      <w:r w:rsidRPr="005D1193">
        <w:rPr>
          <w:sz w:val="24"/>
          <w:szCs w:val="24"/>
          <w:lang w:val="uk-UA"/>
        </w:rPr>
        <w:t xml:space="preserve">, які </w:t>
      </w:r>
      <w:r w:rsidR="006A3F2D" w:rsidRPr="005D1193">
        <w:rPr>
          <w:sz w:val="24"/>
          <w:szCs w:val="24"/>
          <w:lang w:val="uk-UA"/>
        </w:rPr>
        <w:t xml:space="preserve">подаються на укладання </w:t>
      </w:r>
      <w:r w:rsidR="006C4B26" w:rsidRPr="005D1193">
        <w:rPr>
          <w:sz w:val="24"/>
          <w:szCs w:val="24"/>
          <w:lang w:val="uk-UA"/>
        </w:rPr>
        <w:t xml:space="preserve">біржових </w:t>
      </w:r>
      <w:r w:rsidR="006A3F2D" w:rsidRPr="005D1193">
        <w:rPr>
          <w:sz w:val="24"/>
          <w:szCs w:val="24"/>
          <w:lang w:val="uk-UA"/>
        </w:rPr>
        <w:t>правочинів</w:t>
      </w:r>
      <w:r w:rsidR="00BA776E" w:rsidRPr="005D1193">
        <w:rPr>
          <w:sz w:val="24"/>
          <w:szCs w:val="24"/>
          <w:lang w:val="uk-UA"/>
        </w:rPr>
        <w:t xml:space="preserve"> з </w:t>
      </w:r>
      <w:r w:rsidR="006C4B26" w:rsidRPr="005D1193">
        <w:rPr>
          <w:sz w:val="24"/>
          <w:szCs w:val="24"/>
          <w:lang w:val="uk-UA"/>
        </w:rPr>
        <w:t>ц</w:t>
      </w:r>
      <w:r w:rsidR="00E5552C" w:rsidRPr="005D1193">
        <w:rPr>
          <w:sz w:val="24"/>
          <w:szCs w:val="24"/>
          <w:lang w:val="uk-UA"/>
        </w:rPr>
        <w:t>ентральним контрагентом</w:t>
      </w:r>
      <w:r w:rsidRPr="005D1193">
        <w:rPr>
          <w:sz w:val="24"/>
          <w:szCs w:val="24"/>
          <w:lang w:val="uk-UA"/>
        </w:rPr>
        <w:t>;</w:t>
      </w:r>
    </w:p>
    <w:p w14:paraId="30D7B6C4" w14:textId="380C91B3" w:rsidR="00ED3527" w:rsidRPr="005D1193" w:rsidRDefault="009D52D8"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встановлює вимоги</w:t>
      </w:r>
      <w:r w:rsidR="00ED3527" w:rsidRPr="005D1193">
        <w:rPr>
          <w:sz w:val="24"/>
          <w:szCs w:val="24"/>
          <w:lang w:val="uk-UA"/>
        </w:rPr>
        <w:t xml:space="preserve"> до учасників клірингу </w:t>
      </w:r>
      <w:r w:rsidR="005A2E88" w:rsidRPr="005D1193">
        <w:rPr>
          <w:sz w:val="24"/>
          <w:szCs w:val="24"/>
          <w:lang w:val="uk-UA"/>
        </w:rPr>
        <w:t>щодо</w:t>
      </w:r>
      <w:r w:rsidR="00ED3527" w:rsidRPr="005D1193">
        <w:rPr>
          <w:sz w:val="24"/>
          <w:szCs w:val="24"/>
          <w:lang w:val="uk-UA"/>
        </w:rPr>
        <w:t xml:space="preserve"> внесення гарантійного забезпечення;</w:t>
      </w:r>
    </w:p>
    <w:p w14:paraId="5E8B594A" w14:textId="6710D1D5" w:rsidR="00ED3527" w:rsidRDefault="00ED3527"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встановлює перелік цінних паперів, як</w:t>
      </w:r>
      <w:r w:rsidR="005A2E88" w:rsidRPr="005D1193">
        <w:rPr>
          <w:sz w:val="24"/>
          <w:szCs w:val="24"/>
          <w:lang w:val="uk-UA"/>
        </w:rPr>
        <w:t>і</w:t>
      </w:r>
      <w:r w:rsidRPr="005D1193">
        <w:rPr>
          <w:sz w:val="24"/>
          <w:szCs w:val="24"/>
          <w:lang w:val="uk-UA"/>
        </w:rPr>
        <w:t xml:space="preserve"> приймає в якості гарантійного забезпечення;</w:t>
      </w:r>
    </w:p>
    <w:p w14:paraId="243E2D2C" w14:textId="1A302913" w:rsidR="00E026CC" w:rsidRDefault="00E026CC" w:rsidP="00E026CC">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встановлює перелік цінних паперів, які можуть бути предметом договорів</w:t>
      </w:r>
      <w:r w:rsidR="00A35B8C">
        <w:rPr>
          <w:sz w:val="24"/>
          <w:szCs w:val="24"/>
          <w:lang w:val="uk-UA"/>
        </w:rPr>
        <w:t xml:space="preserve"> РЕПО</w:t>
      </w:r>
      <w:r w:rsidRPr="005D1193">
        <w:rPr>
          <w:sz w:val="24"/>
          <w:szCs w:val="24"/>
          <w:lang w:val="uk-UA"/>
        </w:rPr>
        <w:t>;</w:t>
      </w:r>
    </w:p>
    <w:p w14:paraId="05AE1A54" w14:textId="3BBD739C" w:rsidR="00270502" w:rsidRPr="005D1193" w:rsidRDefault="00270502"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lastRenderedPageBreak/>
        <w:t>встановлює інші параметри системи управління ризиками;</w:t>
      </w:r>
    </w:p>
    <w:p w14:paraId="22ED4ECA" w14:textId="5847927F" w:rsidR="00ED3527" w:rsidRPr="005D1193" w:rsidRDefault="00ED3527"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здійснює контроль достатності гарантійного забезпечення при наданні заявок на укладення договорів</w:t>
      </w:r>
      <w:r w:rsidR="005A2E88" w:rsidRPr="005D1193">
        <w:rPr>
          <w:lang w:val="uk-UA"/>
        </w:rPr>
        <w:t xml:space="preserve"> </w:t>
      </w:r>
      <w:r w:rsidR="005A2E88" w:rsidRPr="005D1193">
        <w:rPr>
          <w:sz w:val="24"/>
          <w:szCs w:val="24"/>
          <w:lang w:val="uk-UA"/>
        </w:rPr>
        <w:t xml:space="preserve">з </w:t>
      </w:r>
      <w:r w:rsidR="00E1516B" w:rsidRPr="00FB7007">
        <w:rPr>
          <w:sz w:val="24"/>
          <w:szCs w:val="24"/>
          <w:lang w:val="uk-UA"/>
        </w:rPr>
        <w:t>ц</w:t>
      </w:r>
      <w:r w:rsidR="00E1516B" w:rsidRPr="00E1516B">
        <w:rPr>
          <w:sz w:val="24"/>
          <w:szCs w:val="24"/>
          <w:lang w:val="uk-UA"/>
        </w:rPr>
        <w:t xml:space="preserve">ентральним </w:t>
      </w:r>
      <w:r w:rsidR="005A2E88" w:rsidRPr="00E1516B">
        <w:rPr>
          <w:sz w:val="24"/>
          <w:szCs w:val="24"/>
          <w:lang w:val="uk-UA"/>
        </w:rPr>
        <w:t>контрагентом</w:t>
      </w:r>
      <w:r w:rsidRPr="005D1193">
        <w:rPr>
          <w:sz w:val="24"/>
          <w:szCs w:val="24"/>
          <w:lang w:val="uk-UA"/>
        </w:rPr>
        <w:t>;</w:t>
      </w:r>
    </w:p>
    <w:p w14:paraId="04F46C3C" w14:textId="670DE615" w:rsidR="00ED3527" w:rsidRPr="005D1193" w:rsidRDefault="00ED3527"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 xml:space="preserve">кожного </w:t>
      </w:r>
      <w:r w:rsidR="005A2AA3" w:rsidRPr="005D1193">
        <w:rPr>
          <w:sz w:val="24"/>
          <w:szCs w:val="24"/>
          <w:lang w:val="uk-UA"/>
        </w:rPr>
        <w:t>операційно</w:t>
      </w:r>
      <w:r w:rsidRPr="005D1193">
        <w:rPr>
          <w:sz w:val="24"/>
          <w:szCs w:val="24"/>
          <w:lang w:val="uk-UA"/>
        </w:rPr>
        <w:t>го дня здійснює переоцінку вартості гарантійного забезпечення та</w:t>
      </w:r>
      <w:r w:rsidR="00E026CC">
        <w:rPr>
          <w:sz w:val="24"/>
          <w:szCs w:val="24"/>
          <w:lang w:val="uk-UA"/>
        </w:rPr>
        <w:t xml:space="preserve"> розміру кожного зобов’язання</w:t>
      </w:r>
      <w:r w:rsidR="00170A4C">
        <w:rPr>
          <w:sz w:val="24"/>
          <w:szCs w:val="24"/>
          <w:lang w:val="uk-UA"/>
        </w:rPr>
        <w:t xml:space="preserve"> у</w:t>
      </w:r>
      <w:r w:rsidR="00234989">
        <w:rPr>
          <w:sz w:val="24"/>
          <w:szCs w:val="24"/>
          <w:lang w:val="uk-UA"/>
        </w:rPr>
        <w:t>ч</w:t>
      </w:r>
      <w:r w:rsidR="00170A4C">
        <w:rPr>
          <w:sz w:val="24"/>
          <w:szCs w:val="24"/>
          <w:lang w:val="uk-UA"/>
        </w:rPr>
        <w:t>асника клірингу,</w:t>
      </w:r>
      <w:r w:rsidRPr="005D1193">
        <w:rPr>
          <w:sz w:val="24"/>
          <w:szCs w:val="24"/>
          <w:lang w:val="uk-UA"/>
        </w:rPr>
        <w:t xml:space="preserve"> в разі недостатності гарантійного забезпечення </w:t>
      </w:r>
      <w:r w:rsidR="005A2E88" w:rsidRPr="005D1193">
        <w:rPr>
          <w:sz w:val="24"/>
          <w:szCs w:val="24"/>
          <w:lang w:val="uk-UA"/>
        </w:rPr>
        <w:t>надає</w:t>
      </w:r>
      <w:r w:rsidRPr="005D1193">
        <w:rPr>
          <w:sz w:val="24"/>
          <w:szCs w:val="24"/>
          <w:lang w:val="uk-UA"/>
        </w:rPr>
        <w:t xml:space="preserve"> учаснику клірингу маржинальну вимогу;</w:t>
      </w:r>
    </w:p>
    <w:p w14:paraId="2FE8ECE6" w14:textId="11FCB9D2" w:rsidR="00ED3527" w:rsidRPr="005D1193" w:rsidRDefault="00ED3527" w:rsidP="00270502">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здійснює контроль достатності гарантійного забезпечення при зміні учасником клірингу його складу.</w:t>
      </w:r>
    </w:p>
    <w:p w14:paraId="480236C8" w14:textId="4DA6E8C4" w:rsidR="00FB122B" w:rsidRPr="005D1193" w:rsidRDefault="005F58B9" w:rsidP="00F32A17">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При реалізації другої моделі управління ризиками </w:t>
      </w:r>
      <w:r w:rsidR="00FB122B" w:rsidRPr="005D1193">
        <w:rPr>
          <w:rFonts w:ascii="Times New Roman" w:hAnsi="Times New Roman"/>
          <w:sz w:val="24"/>
          <w:szCs w:val="24"/>
        </w:rPr>
        <w:t xml:space="preserve">Правління Розрахункового центру своїм рішенням затверджує та доводить до відома клієнтів шляхом оприлюднення на офіційному вебсайті Розрахункового центру у строк не пізніше ніж за 5 (п’ять) робочих днів до дати набрання чинності та початку застосування щонайменше наступні параметри </w:t>
      </w:r>
      <w:r w:rsidRPr="005D1193">
        <w:rPr>
          <w:rFonts w:ascii="Times New Roman" w:hAnsi="Times New Roman"/>
          <w:sz w:val="24"/>
          <w:szCs w:val="24"/>
        </w:rPr>
        <w:t xml:space="preserve">системи управління ризиками </w:t>
      </w:r>
      <w:r w:rsidR="00FB122B" w:rsidRPr="005D1193">
        <w:rPr>
          <w:rFonts w:ascii="Times New Roman" w:hAnsi="Times New Roman"/>
          <w:sz w:val="24"/>
          <w:szCs w:val="24"/>
        </w:rPr>
        <w:t>та/або принципи їх визначення: </w:t>
      </w:r>
    </w:p>
    <w:p w14:paraId="17FC7F8F" w14:textId="77777777" w:rsidR="00FB122B" w:rsidRPr="005D1193" w:rsidRDefault="00FB122B" w:rsidP="00F32A17">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максимальний строк, на який укладаються договори в режимі «РЕПО з контролем ризиків»;</w:t>
      </w:r>
    </w:p>
    <w:p w14:paraId="4CB64FD0" w14:textId="110B1CE0" w:rsidR="00FB122B" w:rsidRPr="005D1193" w:rsidRDefault="00FB122B" w:rsidP="00F32A17">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обмеження максимальної та мінімальної суми договору РЕПО для договорів в режимі «РЕПО з контролем ризиків»;</w:t>
      </w:r>
    </w:p>
    <w:p w14:paraId="77791F2C" w14:textId="77777777" w:rsidR="00FB122B" w:rsidRPr="005D1193" w:rsidRDefault="00FB122B" w:rsidP="00F32A17">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принцип визначення переліку цінних паперів, які можуть бути предметом договорів в режимі «РЕПО з контролем ризиків»;</w:t>
      </w:r>
    </w:p>
    <w:p w14:paraId="0920C79E" w14:textId="05864BB2" w:rsidR="00FB122B" w:rsidRPr="005D1193" w:rsidRDefault="00FB122B" w:rsidP="00F32A17">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принцип визначення переліку цінних паперів, які приймаються у якості гарантійного забезпечення;</w:t>
      </w:r>
    </w:p>
    <w:p w14:paraId="49969ED6" w14:textId="77777777" w:rsidR="00FB122B" w:rsidRPr="005D1193" w:rsidRDefault="00FB122B" w:rsidP="00F32A17">
      <w:pPr>
        <w:pStyle w:val="afc"/>
        <w:numPr>
          <w:ilvl w:val="0"/>
          <w:numId w:val="40"/>
        </w:numPr>
        <w:tabs>
          <w:tab w:val="left" w:pos="993"/>
        </w:tabs>
        <w:spacing w:after="120"/>
        <w:ind w:left="0" w:firstLine="709"/>
        <w:jc w:val="both"/>
        <w:rPr>
          <w:sz w:val="24"/>
          <w:szCs w:val="24"/>
          <w:lang w:val="uk-UA"/>
        </w:rPr>
      </w:pPr>
      <w:r w:rsidRPr="005D1193">
        <w:rPr>
          <w:sz w:val="24"/>
          <w:szCs w:val="24"/>
          <w:lang w:val="uk-UA"/>
        </w:rPr>
        <w:t>розмір коефіцієнту обліку зобов’язань (КОЗ), що використовується для розрахунку необхідного гарантійного забезпечення відповідно до п. 5.4.6 цього Положення;</w:t>
      </w:r>
    </w:p>
    <w:p w14:paraId="3258588D" w14:textId="77777777" w:rsidR="00FB122B" w:rsidRPr="005D1193" w:rsidRDefault="00FB122B" w:rsidP="00F32A17">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принцип визначення мінімальної та максимальної ціни одного цінного паперу в заявці на укладення першої частини договору РЕПО в режимі «РЕПО з контролем ризиків»;</w:t>
      </w:r>
    </w:p>
    <w:p w14:paraId="0249E6C7" w14:textId="77777777" w:rsidR="00FB122B" w:rsidRPr="005D1193" w:rsidRDefault="00FB122B" w:rsidP="00F32A17">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послідовність списання коштів та/або цінних паперів з гарантійного забезпечення у складі штрафу учасника клірингу, який є винною стороною договору РЕПО.</w:t>
      </w:r>
    </w:p>
    <w:p w14:paraId="15D508C0" w14:textId="60A8D230" w:rsidR="00ED3527" w:rsidRPr="005D1193" w:rsidRDefault="00ED3527"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5.4. Розрахунковий центр на підставі складу гарантійного забезпечення учасника клірингу розраховує Єдиний ліміт </w:t>
      </w:r>
      <w:r w:rsidR="00B062E7" w:rsidRPr="005D1193">
        <w:rPr>
          <w:rFonts w:ascii="Times New Roman" w:hAnsi="Times New Roman"/>
          <w:sz w:val="24"/>
          <w:szCs w:val="24"/>
        </w:rPr>
        <w:t>у</w:t>
      </w:r>
      <w:r w:rsidRPr="005D1193">
        <w:rPr>
          <w:rFonts w:ascii="Times New Roman" w:hAnsi="Times New Roman"/>
          <w:sz w:val="24"/>
          <w:szCs w:val="24"/>
        </w:rPr>
        <w:t xml:space="preserve"> формі грошового ліміту.</w:t>
      </w:r>
    </w:p>
    <w:p w14:paraId="70D50745" w14:textId="29B61E3E" w:rsidR="005046E2" w:rsidRPr="005D1193" w:rsidRDefault="005046E2"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5.4.1</w:t>
      </w:r>
      <w:r w:rsidR="007873DB" w:rsidRPr="005D1193">
        <w:rPr>
          <w:rFonts w:ascii="Times New Roman" w:hAnsi="Times New Roman"/>
          <w:sz w:val="24"/>
          <w:szCs w:val="24"/>
        </w:rPr>
        <w:t>.</w:t>
      </w:r>
      <w:r w:rsidRPr="005D1193">
        <w:rPr>
          <w:rFonts w:ascii="Times New Roman" w:hAnsi="Times New Roman"/>
          <w:sz w:val="24"/>
          <w:szCs w:val="24"/>
        </w:rPr>
        <w:t xml:space="preserve"> З метою оцінки гарантійного забезпечення </w:t>
      </w:r>
      <w:r w:rsidR="00213430" w:rsidRPr="00213430">
        <w:rPr>
          <w:rFonts w:ascii="Times New Roman" w:hAnsi="Times New Roman"/>
          <w:sz w:val="24"/>
          <w:szCs w:val="24"/>
        </w:rPr>
        <w:t xml:space="preserve">та розміру кожного зобов’язання </w:t>
      </w:r>
      <w:r w:rsidRPr="005D1193">
        <w:rPr>
          <w:rFonts w:ascii="Times New Roman" w:hAnsi="Times New Roman"/>
          <w:sz w:val="24"/>
          <w:szCs w:val="24"/>
        </w:rPr>
        <w:t>учасників клірингу Розрахунковий центр перед початком кожного операційного дня визначає ринкову вартість цінних паперів, які приймаються в якості гарантійного забезпечення</w:t>
      </w:r>
      <w:r w:rsidR="005F656E">
        <w:rPr>
          <w:rFonts w:ascii="Times New Roman" w:hAnsi="Times New Roman"/>
          <w:sz w:val="24"/>
          <w:szCs w:val="24"/>
        </w:rPr>
        <w:t xml:space="preserve"> та цінних паперів,</w:t>
      </w:r>
      <w:r w:rsidR="005F656E" w:rsidRPr="005F656E">
        <w:rPr>
          <w:rFonts w:ascii="Times New Roman" w:hAnsi="Times New Roman"/>
          <w:sz w:val="24"/>
          <w:szCs w:val="24"/>
        </w:rPr>
        <w:t xml:space="preserve"> </w:t>
      </w:r>
      <w:r w:rsidR="005F656E">
        <w:rPr>
          <w:rFonts w:ascii="Times New Roman" w:hAnsi="Times New Roman"/>
          <w:sz w:val="24"/>
          <w:szCs w:val="24"/>
        </w:rPr>
        <w:t xml:space="preserve">які </w:t>
      </w:r>
      <w:r w:rsidR="001834C9">
        <w:rPr>
          <w:rFonts w:ascii="Times New Roman" w:hAnsi="Times New Roman"/>
          <w:sz w:val="24"/>
          <w:szCs w:val="24"/>
        </w:rPr>
        <w:t xml:space="preserve">можуть бути </w:t>
      </w:r>
      <w:r w:rsidR="005F656E" w:rsidRPr="00213430">
        <w:rPr>
          <w:rFonts w:ascii="Times New Roman" w:hAnsi="Times New Roman"/>
          <w:sz w:val="24"/>
          <w:szCs w:val="24"/>
        </w:rPr>
        <w:t>предметом договорів в режимі «РЕПО з контролем ризиків</w:t>
      </w:r>
      <w:r w:rsidR="005F656E">
        <w:rPr>
          <w:rFonts w:ascii="Times New Roman" w:hAnsi="Times New Roman"/>
          <w:sz w:val="24"/>
          <w:szCs w:val="24"/>
        </w:rPr>
        <w:t>»</w:t>
      </w:r>
      <w:r w:rsidRPr="005D1193">
        <w:rPr>
          <w:rFonts w:ascii="Times New Roman" w:hAnsi="Times New Roman"/>
          <w:sz w:val="24"/>
          <w:szCs w:val="24"/>
        </w:rPr>
        <w:t>.</w:t>
      </w:r>
    </w:p>
    <w:p w14:paraId="0F7699FF" w14:textId="36E74D7D" w:rsidR="00F573B7" w:rsidRDefault="005046E2"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Для облігацій внутрішніх державних позик</w:t>
      </w:r>
      <w:r w:rsidR="00911C3B">
        <w:rPr>
          <w:rFonts w:ascii="Times New Roman" w:hAnsi="Times New Roman"/>
          <w:sz w:val="24"/>
          <w:szCs w:val="24"/>
        </w:rPr>
        <w:t>,</w:t>
      </w:r>
      <w:r w:rsidRPr="005D1193">
        <w:rPr>
          <w:rFonts w:ascii="Times New Roman" w:hAnsi="Times New Roman"/>
          <w:sz w:val="24"/>
          <w:szCs w:val="24"/>
        </w:rPr>
        <w:t xml:space="preserve"> </w:t>
      </w:r>
      <w:r w:rsidR="00F573B7">
        <w:rPr>
          <w:rFonts w:ascii="Times New Roman" w:hAnsi="Times New Roman"/>
          <w:sz w:val="24"/>
          <w:szCs w:val="24"/>
        </w:rPr>
        <w:t>номінованих в гривні</w:t>
      </w:r>
      <w:r w:rsidR="00911C3B">
        <w:rPr>
          <w:rFonts w:ascii="Times New Roman" w:hAnsi="Times New Roman"/>
          <w:sz w:val="24"/>
          <w:szCs w:val="24"/>
        </w:rPr>
        <w:t>,</w:t>
      </w:r>
      <w:r w:rsidR="00F573B7">
        <w:rPr>
          <w:rFonts w:ascii="Times New Roman" w:hAnsi="Times New Roman"/>
          <w:sz w:val="24"/>
          <w:szCs w:val="24"/>
        </w:rPr>
        <w:t xml:space="preserve"> </w:t>
      </w:r>
      <w:r w:rsidRPr="005D1193">
        <w:rPr>
          <w:rFonts w:ascii="Times New Roman" w:hAnsi="Times New Roman"/>
          <w:sz w:val="24"/>
          <w:szCs w:val="24"/>
        </w:rPr>
        <w:t>в якості ринкової вартості використовується визначена НБУ на дату розрахунк</w:t>
      </w:r>
      <w:r w:rsidR="00F573B7">
        <w:rPr>
          <w:rFonts w:ascii="Times New Roman" w:hAnsi="Times New Roman"/>
          <w:sz w:val="24"/>
          <w:szCs w:val="24"/>
        </w:rPr>
        <w:t>у</w:t>
      </w:r>
      <w:r w:rsidRPr="005D1193">
        <w:rPr>
          <w:rFonts w:ascii="Times New Roman" w:hAnsi="Times New Roman"/>
          <w:sz w:val="24"/>
          <w:szCs w:val="24"/>
        </w:rPr>
        <w:t xml:space="preserve"> справедлива вартість</w:t>
      </w:r>
      <w:r w:rsidR="00F573B7">
        <w:rPr>
          <w:rFonts w:ascii="Times New Roman" w:hAnsi="Times New Roman"/>
          <w:sz w:val="24"/>
          <w:szCs w:val="24"/>
        </w:rPr>
        <w:t xml:space="preserve">. Для </w:t>
      </w:r>
      <w:r w:rsidR="00F573B7" w:rsidRPr="005D1193">
        <w:rPr>
          <w:rFonts w:ascii="Times New Roman" w:hAnsi="Times New Roman"/>
          <w:sz w:val="24"/>
          <w:szCs w:val="24"/>
        </w:rPr>
        <w:t>облігацій внутрішніх державних позик</w:t>
      </w:r>
      <w:r w:rsidR="00911C3B">
        <w:rPr>
          <w:rFonts w:ascii="Times New Roman" w:hAnsi="Times New Roman"/>
          <w:sz w:val="24"/>
          <w:szCs w:val="24"/>
        </w:rPr>
        <w:t>,</w:t>
      </w:r>
      <w:r w:rsidR="00F573B7" w:rsidRPr="005D1193">
        <w:rPr>
          <w:rFonts w:ascii="Times New Roman" w:hAnsi="Times New Roman"/>
          <w:sz w:val="24"/>
          <w:szCs w:val="24"/>
        </w:rPr>
        <w:t xml:space="preserve"> </w:t>
      </w:r>
      <w:r w:rsidR="00F573B7">
        <w:rPr>
          <w:rFonts w:ascii="Times New Roman" w:hAnsi="Times New Roman"/>
          <w:sz w:val="24"/>
          <w:szCs w:val="24"/>
        </w:rPr>
        <w:t>номінованих в іноземній валюті</w:t>
      </w:r>
      <w:r w:rsidR="00911C3B">
        <w:rPr>
          <w:rFonts w:ascii="Times New Roman" w:hAnsi="Times New Roman"/>
          <w:sz w:val="24"/>
          <w:szCs w:val="24"/>
        </w:rPr>
        <w:t>,</w:t>
      </w:r>
      <w:r w:rsidR="00F573B7">
        <w:rPr>
          <w:rFonts w:ascii="Times New Roman" w:hAnsi="Times New Roman"/>
          <w:sz w:val="24"/>
          <w:szCs w:val="24"/>
        </w:rPr>
        <w:t xml:space="preserve"> </w:t>
      </w:r>
      <w:r w:rsidR="00F573B7" w:rsidRPr="005D1193">
        <w:rPr>
          <w:rFonts w:ascii="Times New Roman" w:hAnsi="Times New Roman"/>
          <w:sz w:val="24"/>
          <w:szCs w:val="24"/>
        </w:rPr>
        <w:t>в якості ринкової вартості використовується визначена НБУ на дату розрахунк</w:t>
      </w:r>
      <w:r w:rsidR="00911C3B">
        <w:rPr>
          <w:rFonts w:ascii="Times New Roman" w:hAnsi="Times New Roman"/>
          <w:sz w:val="24"/>
          <w:szCs w:val="24"/>
        </w:rPr>
        <w:t>у</w:t>
      </w:r>
      <w:r w:rsidR="00F573B7" w:rsidRPr="005D1193">
        <w:rPr>
          <w:rFonts w:ascii="Times New Roman" w:hAnsi="Times New Roman"/>
          <w:sz w:val="24"/>
          <w:szCs w:val="24"/>
        </w:rPr>
        <w:t xml:space="preserve"> справедлива вартість</w:t>
      </w:r>
      <w:r w:rsidR="00F573B7">
        <w:rPr>
          <w:rFonts w:ascii="Times New Roman" w:hAnsi="Times New Roman"/>
          <w:sz w:val="24"/>
          <w:szCs w:val="24"/>
        </w:rPr>
        <w:t xml:space="preserve"> помножена на </w:t>
      </w:r>
      <w:r w:rsidR="00911C3B">
        <w:rPr>
          <w:rFonts w:ascii="Times New Roman" w:hAnsi="Times New Roman"/>
          <w:sz w:val="24"/>
          <w:szCs w:val="24"/>
        </w:rPr>
        <w:t xml:space="preserve">офіційний </w:t>
      </w:r>
      <w:r w:rsidR="00F573B7">
        <w:rPr>
          <w:rFonts w:ascii="Times New Roman" w:hAnsi="Times New Roman"/>
          <w:sz w:val="24"/>
          <w:szCs w:val="24"/>
        </w:rPr>
        <w:t>курс гривні до відповідної іноземної валюти</w:t>
      </w:r>
      <w:r w:rsidR="00911C3B">
        <w:rPr>
          <w:rFonts w:ascii="Times New Roman" w:hAnsi="Times New Roman"/>
          <w:sz w:val="24"/>
          <w:szCs w:val="24"/>
        </w:rPr>
        <w:t>,</w:t>
      </w:r>
      <w:r w:rsidR="00F573B7" w:rsidRPr="00F573B7">
        <w:rPr>
          <w:rFonts w:ascii="Times New Roman" w:hAnsi="Times New Roman"/>
          <w:sz w:val="24"/>
          <w:szCs w:val="24"/>
        </w:rPr>
        <w:t xml:space="preserve"> </w:t>
      </w:r>
      <w:r w:rsidR="00F573B7">
        <w:rPr>
          <w:rFonts w:ascii="Times New Roman" w:hAnsi="Times New Roman"/>
          <w:sz w:val="24"/>
          <w:szCs w:val="24"/>
        </w:rPr>
        <w:t>встановлений на дату розрахунку.</w:t>
      </w:r>
    </w:p>
    <w:p w14:paraId="0A60EBD5" w14:textId="74842529" w:rsidR="00C93D1A" w:rsidRPr="005D1193" w:rsidRDefault="005046E2"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В разі, якщо </w:t>
      </w:r>
      <w:r w:rsidR="00BE2269">
        <w:rPr>
          <w:rFonts w:ascii="Times New Roman" w:hAnsi="Times New Roman"/>
          <w:sz w:val="24"/>
          <w:szCs w:val="24"/>
        </w:rPr>
        <w:t>розрахована ринкова</w:t>
      </w:r>
      <w:r w:rsidRPr="005D1193">
        <w:rPr>
          <w:rFonts w:ascii="Times New Roman" w:hAnsi="Times New Roman"/>
          <w:sz w:val="24"/>
          <w:szCs w:val="24"/>
        </w:rPr>
        <w:t xml:space="preserve"> вартість </w:t>
      </w:r>
      <w:r w:rsidR="00BE2269">
        <w:rPr>
          <w:rFonts w:ascii="Times New Roman" w:hAnsi="Times New Roman"/>
          <w:sz w:val="24"/>
          <w:szCs w:val="24"/>
        </w:rPr>
        <w:t xml:space="preserve">цінного паперу </w:t>
      </w:r>
      <w:r w:rsidRPr="005D1193">
        <w:rPr>
          <w:rFonts w:ascii="Times New Roman" w:hAnsi="Times New Roman"/>
          <w:sz w:val="24"/>
          <w:szCs w:val="24"/>
        </w:rPr>
        <w:t xml:space="preserve">нижча </w:t>
      </w:r>
      <w:r w:rsidR="00561921" w:rsidRPr="005D1193">
        <w:rPr>
          <w:rFonts w:ascii="Times New Roman" w:hAnsi="Times New Roman"/>
          <w:sz w:val="24"/>
          <w:szCs w:val="24"/>
        </w:rPr>
        <w:t>ніж</w:t>
      </w:r>
      <w:r w:rsidRPr="005D1193">
        <w:rPr>
          <w:rFonts w:ascii="Times New Roman" w:hAnsi="Times New Roman"/>
          <w:sz w:val="24"/>
          <w:szCs w:val="24"/>
        </w:rPr>
        <w:t xml:space="preserve"> </w:t>
      </w:r>
      <w:r w:rsidR="0097414F" w:rsidRPr="005D1193">
        <w:rPr>
          <w:rFonts w:ascii="Times New Roman" w:hAnsi="Times New Roman"/>
          <w:sz w:val="24"/>
          <w:szCs w:val="24"/>
        </w:rPr>
        <w:t>оціночна вартість цінного паперу,</w:t>
      </w:r>
      <w:r w:rsidR="00C93D1A" w:rsidRPr="005D1193">
        <w:rPr>
          <w:rFonts w:ascii="Times New Roman" w:hAnsi="Times New Roman"/>
          <w:sz w:val="24"/>
          <w:szCs w:val="24"/>
        </w:rPr>
        <w:t xml:space="preserve"> визначен</w:t>
      </w:r>
      <w:r w:rsidR="00561921" w:rsidRPr="005D1193">
        <w:rPr>
          <w:rFonts w:ascii="Times New Roman" w:hAnsi="Times New Roman"/>
          <w:sz w:val="24"/>
          <w:szCs w:val="24"/>
        </w:rPr>
        <w:t>а</w:t>
      </w:r>
      <w:r w:rsidR="00C93D1A" w:rsidRPr="005D1193">
        <w:rPr>
          <w:rFonts w:ascii="Times New Roman" w:hAnsi="Times New Roman"/>
          <w:sz w:val="24"/>
          <w:szCs w:val="24"/>
        </w:rPr>
        <w:t xml:space="preserve"> для попереднього операційного дня, то в якості ринкової вартості цінного паперу </w:t>
      </w:r>
      <w:r w:rsidR="00D95671" w:rsidRPr="005D1193">
        <w:rPr>
          <w:rFonts w:ascii="Times New Roman" w:hAnsi="Times New Roman"/>
          <w:sz w:val="24"/>
          <w:szCs w:val="24"/>
        </w:rPr>
        <w:t xml:space="preserve">поточного операційного дня </w:t>
      </w:r>
      <w:r w:rsidR="00C93D1A" w:rsidRPr="005D1193">
        <w:rPr>
          <w:rFonts w:ascii="Times New Roman" w:hAnsi="Times New Roman"/>
          <w:sz w:val="24"/>
          <w:szCs w:val="24"/>
        </w:rPr>
        <w:t xml:space="preserve">використовується </w:t>
      </w:r>
      <w:r w:rsidR="0097414F" w:rsidRPr="005D1193">
        <w:rPr>
          <w:rFonts w:ascii="Times New Roman" w:hAnsi="Times New Roman"/>
          <w:sz w:val="24"/>
          <w:szCs w:val="24"/>
        </w:rPr>
        <w:t>оціночна вартість цінного паперу,</w:t>
      </w:r>
      <w:r w:rsidR="00C93D1A" w:rsidRPr="005D1193">
        <w:rPr>
          <w:rFonts w:ascii="Times New Roman" w:hAnsi="Times New Roman"/>
          <w:sz w:val="24"/>
          <w:szCs w:val="24"/>
        </w:rPr>
        <w:t xml:space="preserve"> визначен</w:t>
      </w:r>
      <w:r w:rsidR="00561921" w:rsidRPr="005D1193">
        <w:rPr>
          <w:rFonts w:ascii="Times New Roman" w:hAnsi="Times New Roman"/>
          <w:sz w:val="24"/>
          <w:szCs w:val="24"/>
        </w:rPr>
        <w:t>а</w:t>
      </w:r>
      <w:r w:rsidR="00C93D1A" w:rsidRPr="005D1193">
        <w:rPr>
          <w:rFonts w:ascii="Times New Roman" w:hAnsi="Times New Roman"/>
          <w:sz w:val="24"/>
          <w:szCs w:val="24"/>
        </w:rPr>
        <w:t xml:space="preserve"> для попереднього операційного дня.</w:t>
      </w:r>
    </w:p>
    <w:p w14:paraId="47945534" w14:textId="220917C4" w:rsidR="005046E2" w:rsidRPr="005D1193" w:rsidRDefault="00C93D1A"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В разі, якщо </w:t>
      </w:r>
      <w:r w:rsidR="00D95671" w:rsidRPr="005D1193">
        <w:rPr>
          <w:rFonts w:ascii="Times New Roman" w:hAnsi="Times New Roman"/>
          <w:sz w:val="24"/>
          <w:szCs w:val="24"/>
        </w:rPr>
        <w:t xml:space="preserve">для поточного операційного дня </w:t>
      </w:r>
      <w:r w:rsidRPr="005D1193">
        <w:rPr>
          <w:rFonts w:ascii="Times New Roman" w:hAnsi="Times New Roman"/>
          <w:sz w:val="24"/>
          <w:szCs w:val="24"/>
        </w:rPr>
        <w:t>справедлива вартість не була визначена НБУ для певного випуску або всіх цінних паперів, які приймаються в якості гарантійного забезпечення</w:t>
      </w:r>
      <w:r w:rsidR="00213430" w:rsidRPr="00213430">
        <w:t xml:space="preserve"> </w:t>
      </w:r>
      <w:r w:rsidR="00213430" w:rsidRPr="00307866">
        <w:rPr>
          <w:rFonts w:ascii="Times New Roman" w:hAnsi="Times New Roman"/>
          <w:sz w:val="24"/>
          <w:szCs w:val="24"/>
        </w:rPr>
        <w:t xml:space="preserve">або </w:t>
      </w:r>
      <w:r w:rsidR="001834C9">
        <w:rPr>
          <w:rFonts w:ascii="Times New Roman" w:hAnsi="Times New Roman"/>
          <w:sz w:val="24"/>
          <w:szCs w:val="24"/>
        </w:rPr>
        <w:t>можуть бути</w:t>
      </w:r>
      <w:r w:rsidR="00213430">
        <w:t xml:space="preserve"> </w:t>
      </w:r>
      <w:r w:rsidR="00213430" w:rsidRPr="00213430">
        <w:rPr>
          <w:rFonts w:ascii="Times New Roman" w:hAnsi="Times New Roman"/>
          <w:sz w:val="24"/>
          <w:szCs w:val="24"/>
        </w:rPr>
        <w:t>предметом договорів в режимі «РЕПО з контролем ризиків</w:t>
      </w:r>
      <w:r w:rsidR="00213430">
        <w:rPr>
          <w:rFonts w:ascii="Times New Roman" w:hAnsi="Times New Roman"/>
          <w:sz w:val="24"/>
          <w:szCs w:val="24"/>
        </w:rPr>
        <w:t>»</w:t>
      </w:r>
      <w:r w:rsidR="000E4AAC" w:rsidRPr="005D1193">
        <w:rPr>
          <w:rFonts w:ascii="Times New Roman" w:hAnsi="Times New Roman"/>
          <w:sz w:val="24"/>
          <w:szCs w:val="24"/>
        </w:rPr>
        <w:t>,</w:t>
      </w:r>
      <w:r w:rsidR="00D95671" w:rsidRPr="005D1193">
        <w:rPr>
          <w:rFonts w:ascii="Times New Roman" w:hAnsi="Times New Roman"/>
          <w:sz w:val="24"/>
          <w:szCs w:val="24"/>
        </w:rPr>
        <w:t xml:space="preserve"> то Розрахунковий центр самостійно встановлює </w:t>
      </w:r>
      <w:r w:rsidR="00FB6CFB" w:rsidRPr="005D1193">
        <w:rPr>
          <w:rFonts w:ascii="Times New Roman" w:hAnsi="Times New Roman"/>
          <w:sz w:val="24"/>
          <w:szCs w:val="24"/>
        </w:rPr>
        <w:t>ринкову</w:t>
      </w:r>
      <w:r w:rsidR="00D95671" w:rsidRPr="005D1193">
        <w:rPr>
          <w:rFonts w:ascii="Times New Roman" w:hAnsi="Times New Roman"/>
          <w:sz w:val="24"/>
          <w:szCs w:val="24"/>
        </w:rPr>
        <w:t xml:space="preserve"> вартість цінних паперів для поточного операційного дня</w:t>
      </w:r>
      <w:r w:rsidRPr="005D1193">
        <w:rPr>
          <w:rFonts w:ascii="Times New Roman" w:hAnsi="Times New Roman"/>
          <w:sz w:val="24"/>
          <w:szCs w:val="24"/>
        </w:rPr>
        <w:t>.</w:t>
      </w:r>
      <w:r w:rsidR="00D95671" w:rsidRPr="005D1193">
        <w:rPr>
          <w:rFonts w:ascii="Times New Roman" w:hAnsi="Times New Roman"/>
          <w:sz w:val="24"/>
          <w:szCs w:val="24"/>
        </w:rPr>
        <w:t xml:space="preserve"> В цьому </w:t>
      </w:r>
      <w:r w:rsidR="00D95671" w:rsidRPr="005D1193">
        <w:rPr>
          <w:rFonts w:ascii="Times New Roman" w:hAnsi="Times New Roman"/>
          <w:sz w:val="24"/>
          <w:szCs w:val="24"/>
        </w:rPr>
        <w:lastRenderedPageBreak/>
        <w:t xml:space="preserve">випадку </w:t>
      </w:r>
      <w:r w:rsidR="00FB6CFB" w:rsidRPr="005D1193">
        <w:rPr>
          <w:rFonts w:ascii="Times New Roman" w:hAnsi="Times New Roman"/>
          <w:sz w:val="24"/>
          <w:szCs w:val="24"/>
        </w:rPr>
        <w:t>ринкова</w:t>
      </w:r>
      <w:r w:rsidR="00D95671" w:rsidRPr="005D1193">
        <w:rPr>
          <w:rFonts w:ascii="Times New Roman" w:hAnsi="Times New Roman"/>
          <w:sz w:val="24"/>
          <w:szCs w:val="24"/>
        </w:rPr>
        <w:t xml:space="preserve"> вартість не може бути більшою за справедливу вартість попереднього операційного дня та меншою за </w:t>
      </w:r>
      <w:r w:rsidR="00FB6CFB" w:rsidRPr="005D1193">
        <w:rPr>
          <w:rFonts w:ascii="Times New Roman" w:hAnsi="Times New Roman"/>
          <w:sz w:val="24"/>
          <w:szCs w:val="24"/>
        </w:rPr>
        <w:t>оціночну вартість цінного паперу,</w:t>
      </w:r>
      <w:r w:rsidR="00D95671" w:rsidRPr="005D1193">
        <w:rPr>
          <w:rFonts w:ascii="Times New Roman" w:hAnsi="Times New Roman"/>
          <w:sz w:val="24"/>
          <w:szCs w:val="24"/>
        </w:rPr>
        <w:t xml:space="preserve"> визначен</w:t>
      </w:r>
      <w:r w:rsidR="00FB6CFB" w:rsidRPr="005D1193">
        <w:rPr>
          <w:rFonts w:ascii="Times New Roman" w:hAnsi="Times New Roman"/>
          <w:sz w:val="24"/>
          <w:szCs w:val="24"/>
        </w:rPr>
        <w:t>у</w:t>
      </w:r>
      <w:r w:rsidR="00D95671" w:rsidRPr="005D1193">
        <w:rPr>
          <w:rFonts w:ascii="Times New Roman" w:hAnsi="Times New Roman"/>
          <w:sz w:val="24"/>
          <w:szCs w:val="24"/>
        </w:rPr>
        <w:t xml:space="preserve"> для попереднього операційного дня.</w:t>
      </w:r>
    </w:p>
    <w:p w14:paraId="28BD7562" w14:textId="627FA0B6" w:rsidR="00ED3527" w:rsidRPr="005D1193" w:rsidRDefault="00ED3527" w:rsidP="000A39DA">
      <w:pPr>
        <w:pStyle w:val="afc"/>
        <w:tabs>
          <w:tab w:val="left" w:pos="993"/>
        </w:tabs>
        <w:spacing w:after="120"/>
        <w:ind w:firstLine="709"/>
        <w:jc w:val="both"/>
        <w:rPr>
          <w:sz w:val="24"/>
          <w:szCs w:val="24"/>
          <w:lang w:val="uk-UA"/>
        </w:rPr>
      </w:pPr>
      <w:r w:rsidRPr="005D1193">
        <w:rPr>
          <w:sz w:val="24"/>
          <w:szCs w:val="24"/>
          <w:lang w:val="uk-UA"/>
        </w:rPr>
        <w:t>5.4.</w:t>
      </w:r>
      <w:r w:rsidR="00D95671" w:rsidRPr="005D1193">
        <w:rPr>
          <w:sz w:val="24"/>
          <w:szCs w:val="24"/>
          <w:lang w:val="uk-UA"/>
        </w:rPr>
        <w:t>2</w:t>
      </w:r>
      <w:r w:rsidRPr="005D1193">
        <w:rPr>
          <w:sz w:val="24"/>
          <w:szCs w:val="24"/>
          <w:lang w:val="uk-UA"/>
        </w:rPr>
        <w:t>. Єдиний ліміт розраховується:</w:t>
      </w:r>
    </w:p>
    <w:p w14:paraId="074CFCF5" w14:textId="1D4F5336" w:rsidR="00ED3527" w:rsidRPr="005D1193" w:rsidRDefault="00AD1A92" w:rsidP="000A39DA">
      <w:pPr>
        <w:pStyle w:val="afc"/>
        <w:numPr>
          <w:ilvl w:val="0"/>
          <w:numId w:val="40"/>
        </w:numPr>
        <w:tabs>
          <w:tab w:val="left" w:pos="993"/>
        </w:tabs>
        <w:spacing w:after="120"/>
        <w:ind w:left="0" w:firstLine="709"/>
        <w:jc w:val="both"/>
        <w:rPr>
          <w:sz w:val="24"/>
          <w:szCs w:val="24"/>
          <w:lang w:val="uk-UA"/>
        </w:rPr>
      </w:pPr>
      <w:r>
        <w:rPr>
          <w:sz w:val="24"/>
          <w:szCs w:val="24"/>
          <w:lang w:val="uk-UA"/>
        </w:rPr>
        <w:t>для</w:t>
      </w:r>
      <w:r w:rsidRPr="005D1193">
        <w:rPr>
          <w:sz w:val="24"/>
          <w:szCs w:val="24"/>
          <w:lang w:val="uk-UA"/>
        </w:rPr>
        <w:t xml:space="preserve"> </w:t>
      </w:r>
      <w:r w:rsidR="00ED3527" w:rsidRPr="005D1193">
        <w:rPr>
          <w:sz w:val="24"/>
          <w:szCs w:val="24"/>
          <w:lang w:val="uk-UA"/>
        </w:rPr>
        <w:t>всі</w:t>
      </w:r>
      <w:r w:rsidR="005A2E88" w:rsidRPr="005D1193">
        <w:rPr>
          <w:sz w:val="24"/>
          <w:szCs w:val="24"/>
          <w:lang w:val="uk-UA"/>
        </w:rPr>
        <w:t>х</w:t>
      </w:r>
      <w:r w:rsidR="00ED3527" w:rsidRPr="005D1193">
        <w:rPr>
          <w:sz w:val="24"/>
          <w:szCs w:val="24"/>
          <w:lang w:val="uk-UA"/>
        </w:rPr>
        <w:t xml:space="preserve"> учасник</w:t>
      </w:r>
      <w:r w:rsidR="005A2E88" w:rsidRPr="005D1193">
        <w:rPr>
          <w:sz w:val="24"/>
          <w:szCs w:val="24"/>
          <w:lang w:val="uk-UA"/>
        </w:rPr>
        <w:t>ів</w:t>
      </w:r>
      <w:r w:rsidR="00ED3527" w:rsidRPr="005D1193">
        <w:rPr>
          <w:sz w:val="24"/>
          <w:szCs w:val="24"/>
          <w:lang w:val="uk-UA"/>
        </w:rPr>
        <w:t xml:space="preserve"> клірингу </w:t>
      </w:r>
      <w:r w:rsidR="005A2E88" w:rsidRPr="005D1193">
        <w:rPr>
          <w:sz w:val="24"/>
          <w:szCs w:val="24"/>
          <w:lang w:val="uk-UA"/>
        </w:rPr>
        <w:t xml:space="preserve">– </w:t>
      </w:r>
      <w:r w:rsidR="00ED3527" w:rsidRPr="005D1193">
        <w:rPr>
          <w:sz w:val="24"/>
          <w:szCs w:val="24"/>
          <w:lang w:val="uk-UA"/>
        </w:rPr>
        <w:t>при проведенні щоденної переоцінки вартості гарантійного забезпечення</w:t>
      </w:r>
      <w:r w:rsidR="006815E1" w:rsidRPr="005D1193">
        <w:rPr>
          <w:sz w:val="24"/>
          <w:szCs w:val="24"/>
          <w:lang w:val="uk-UA"/>
        </w:rPr>
        <w:t xml:space="preserve"> (процедура </w:t>
      </w:r>
      <w:r w:rsidR="006815E1" w:rsidRPr="005D1193">
        <w:rPr>
          <w:rFonts w:eastAsia="Calibri"/>
          <w:sz w:val="24"/>
          <w:szCs w:val="24"/>
          <w:lang w:val="uk-UA"/>
        </w:rPr>
        <w:t>Mark-to-market)</w:t>
      </w:r>
      <w:r w:rsidR="00ED3527" w:rsidRPr="005D1193">
        <w:rPr>
          <w:sz w:val="24"/>
          <w:szCs w:val="24"/>
          <w:lang w:val="uk-UA"/>
        </w:rPr>
        <w:t>;</w:t>
      </w:r>
    </w:p>
    <w:p w14:paraId="2F90FA01" w14:textId="2CBFCB5A" w:rsidR="00ED3527" w:rsidRPr="005D1193" w:rsidRDefault="00AD1A92" w:rsidP="000A39DA">
      <w:pPr>
        <w:pStyle w:val="afc"/>
        <w:numPr>
          <w:ilvl w:val="0"/>
          <w:numId w:val="40"/>
        </w:numPr>
        <w:tabs>
          <w:tab w:val="left" w:pos="993"/>
        </w:tabs>
        <w:spacing w:after="120"/>
        <w:ind w:left="0" w:firstLine="709"/>
        <w:jc w:val="both"/>
        <w:rPr>
          <w:sz w:val="24"/>
          <w:szCs w:val="24"/>
          <w:lang w:val="uk-UA"/>
        </w:rPr>
      </w:pPr>
      <w:r>
        <w:rPr>
          <w:sz w:val="24"/>
          <w:szCs w:val="24"/>
          <w:lang w:val="uk-UA"/>
        </w:rPr>
        <w:t>для</w:t>
      </w:r>
      <w:r w:rsidRPr="005D1193">
        <w:rPr>
          <w:sz w:val="24"/>
          <w:szCs w:val="24"/>
          <w:lang w:val="uk-UA"/>
        </w:rPr>
        <w:t xml:space="preserve"> </w:t>
      </w:r>
      <w:r w:rsidR="006A3F2D" w:rsidRPr="005D1193">
        <w:rPr>
          <w:sz w:val="24"/>
          <w:szCs w:val="24"/>
          <w:lang w:val="uk-UA"/>
        </w:rPr>
        <w:t>окремо</w:t>
      </w:r>
      <w:r w:rsidR="005A2E88" w:rsidRPr="005D1193">
        <w:rPr>
          <w:sz w:val="24"/>
          <w:szCs w:val="24"/>
          <w:lang w:val="uk-UA"/>
        </w:rPr>
        <w:t>г</w:t>
      </w:r>
      <w:r w:rsidR="00DE566F" w:rsidRPr="005D1193">
        <w:rPr>
          <w:sz w:val="24"/>
          <w:szCs w:val="24"/>
          <w:lang w:val="uk-UA"/>
        </w:rPr>
        <w:t>о</w:t>
      </w:r>
      <w:r w:rsidR="006A3F2D" w:rsidRPr="005D1193">
        <w:rPr>
          <w:sz w:val="24"/>
          <w:szCs w:val="24"/>
          <w:lang w:val="uk-UA"/>
        </w:rPr>
        <w:t xml:space="preserve"> </w:t>
      </w:r>
      <w:r w:rsidR="00ED3527" w:rsidRPr="005D1193">
        <w:rPr>
          <w:sz w:val="24"/>
          <w:szCs w:val="24"/>
          <w:lang w:val="uk-UA"/>
        </w:rPr>
        <w:t>учасник</w:t>
      </w:r>
      <w:r w:rsidR="00303DFB" w:rsidRPr="005D1193">
        <w:rPr>
          <w:sz w:val="24"/>
          <w:szCs w:val="24"/>
          <w:lang w:val="uk-UA"/>
        </w:rPr>
        <w:t>а</w:t>
      </w:r>
      <w:r w:rsidR="00ED3527" w:rsidRPr="005D1193">
        <w:rPr>
          <w:sz w:val="24"/>
          <w:szCs w:val="24"/>
          <w:lang w:val="uk-UA"/>
        </w:rPr>
        <w:t xml:space="preserve"> клірингу </w:t>
      </w:r>
      <w:r w:rsidR="005A2E88" w:rsidRPr="005D1193">
        <w:rPr>
          <w:sz w:val="24"/>
          <w:szCs w:val="24"/>
          <w:lang w:val="uk-UA"/>
        </w:rPr>
        <w:t xml:space="preserve">– </w:t>
      </w:r>
      <w:r>
        <w:rPr>
          <w:sz w:val="24"/>
          <w:szCs w:val="24"/>
          <w:lang w:val="uk-UA"/>
        </w:rPr>
        <w:t>при</w:t>
      </w:r>
      <w:r w:rsidR="00ED3527" w:rsidRPr="005D1193">
        <w:rPr>
          <w:sz w:val="24"/>
          <w:szCs w:val="24"/>
          <w:lang w:val="uk-UA"/>
        </w:rPr>
        <w:t xml:space="preserve"> зарахуванн</w:t>
      </w:r>
      <w:r>
        <w:rPr>
          <w:sz w:val="24"/>
          <w:szCs w:val="24"/>
          <w:lang w:val="uk-UA"/>
        </w:rPr>
        <w:t>і</w:t>
      </w:r>
      <w:r w:rsidR="00ED3527" w:rsidRPr="005D1193">
        <w:rPr>
          <w:sz w:val="24"/>
          <w:szCs w:val="24"/>
          <w:lang w:val="uk-UA"/>
        </w:rPr>
        <w:t xml:space="preserve"> або списанн</w:t>
      </w:r>
      <w:r>
        <w:rPr>
          <w:sz w:val="24"/>
          <w:szCs w:val="24"/>
          <w:lang w:val="uk-UA"/>
        </w:rPr>
        <w:t>і</w:t>
      </w:r>
      <w:r w:rsidR="00ED3527" w:rsidRPr="005D1193">
        <w:rPr>
          <w:sz w:val="24"/>
          <w:szCs w:val="24"/>
          <w:lang w:val="uk-UA"/>
        </w:rPr>
        <w:t xml:space="preserve"> </w:t>
      </w:r>
      <w:r w:rsidR="000E1F46" w:rsidRPr="005D1193">
        <w:rPr>
          <w:sz w:val="24"/>
          <w:szCs w:val="24"/>
          <w:lang w:val="uk-UA"/>
        </w:rPr>
        <w:t xml:space="preserve">ним </w:t>
      </w:r>
      <w:r w:rsidR="005A2E88" w:rsidRPr="005D1193">
        <w:rPr>
          <w:sz w:val="24"/>
          <w:szCs w:val="24"/>
          <w:lang w:val="uk-UA"/>
        </w:rPr>
        <w:t>зобов</w:t>
      </w:r>
      <w:r w:rsidR="005F41FA" w:rsidRPr="005D1193">
        <w:rPr>
          <w:sz w:val="24"/>
          <w:szCs w:val="24"/>
          <w:lang w:val="uk-UA"/>
        </w:rPr>
        <w:t>’</w:t>
      </w:r>
      <w:r w:rsidR="005A2E88" w:rsidRPr="005D1193">
        <w:rPr>
          <w:sz w:val="24"/>
          <w:szCs w:val="24"/>
          <w:lang w:val="uk-UA"/>
        </w:rPr>
        <w:t>язань та/або прав з поставки та/або отримання цінних паперів та/або коштів в якості гарантійного забезпечення</w:t>
      </w:r>
      <w:r w:rsidR="00ED3527" w:rsidRPr="005D1193">
        <w:rPr>
          <w:sz w:val="24"/>
          <w:szCs w:val="24"/>
          <w:lang w:val="uk-UA"/>
        </w:rPr>
        <w:t xml:space="preserve"> на кліринговий рахунок.</w:t>
      </w:r>
    </w:p>
    <w:p w14:paraId="67D3B846" w14:textId="5D266680" w:rsidR="00ED3527" w:rsidRPr="005D1193" w:rsidRDefault="00ED3527" w:rsidP="000A39DA">
      <w:pPr>
        <w:tabs>
          <w:tab w:val="left" w:pos="993"/>
        </w:tabs>
        <w:spacing w:after="120"/>
        <w:ind w:firstLine="709"/>
        <w:jc w:val="both"/>
        <w:rPr>
          <w:rFonts w:ascii="Times New Roman" w:hAnsi="Times New Roman"/>
          <w:sz w:val="24"/>
          <w:szCs w:val="24"/>
        </w:rPr>
      </w:pPr>
      <w:r w:rsidRPr="005D1193">
        <w:rPr>
          <w:rFonts w:ascii="Times New Roman" w:hAnsi="Times New Roman"/>
          <w:sz w:val="24"/>
          <w:szCs w:val="24"/>
        </w:rPr>
        <w:t>5.4.</w:t>
      </w:r>
      <w:r w:rsidR="00D95671" w:rsidRPr="005D1193">
        <w:rPr>
          <w:rFonts w:ascii="Times New Roman" w:hAnsi="Times New Roman"/>
          <w:sz w:val="24"/>
          <w:szCs w:val="24"/>
        </w:rPr>
        <w:t>3</w:t>
      </w:r>
      <w:r w:rsidRPr="005D1193">
        <w:rPr>
          <w:rFonts w:ascii="Times New Roman" w:hAnsi="Times New Roman"/>
          <w:sz w:val="24"/>
          <w:szCs w:val="24"/>
        </w:rPr>
        <w:t>. Гарантійне забезпечення учасника клірингу враховується в Єдиному ліміті наступним чином:</w:t>
      </w:r>
    </w:p>
    <w:p w14:paraId="4051534F" w14:textId="1A978E7E" w:rsidR="00ED3527" w:rsidRPr="005D1193" w:rsidRDefault="005A2E88"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гарантійне з</w:t>
      </w:r>
      <w:r w:rsidR="00ED3527" w:rsidRPr="005D1193">
        <w:rPr>
          <w:sz w:val="24"/>
          <w:szCs w:val="24"/>
          <w:lang w:val="uk-UA"/>
        </w:rPr>
        <w:t xml:space="preserve">абезпечення учасника клірингу в </w:t>
      </w:r>
      <w:r w:rsidRPr="005D1193">
        <w:rPr>
          <w:sz w:val="24"/>
          <w:szCs w:val="24"/>
          <w:lang w:val="uk-UA"/>
        </w:rPr>
        <w:t xml:space="preserve">національній валюті </w:t>
      </w:r>
      <w:r w:rsidR="00ED3527" w:rsidRPr="005D1193">
        <w:rPr>
          <w:sz w:val="24"/>
          <w:szCs w:val="24"/>
          <w:lang w:val="uk-UA"/>
        </w:rPr>
        <w:t xml:space="preserve">враховується в Єдиному ліміті за принципом 1 (одна) гривня </w:t>
      </w:r>
      <w:r w:rsidRPr="005D1193">
        <w:rPr>
          <w:sz w:val="24"/>
          <w:szCs w:val="24"/>
          <w:lang w:val="uk-UA"/>
        </w:rPr>
        <w:t xml:space="preserve">гарантійного </w:t>
      </w:r>
      <w:r w:rsidR="00ED3527" w:rsidRPr="005D1193">
        <w:rPr>
          <w:sz w:val="24"/>
          <w:szCs w:val="24"/>
          <w:lang w:val="uk-UA"/>
        </w:rPr>
        <w:t>забезпечення дорівнює 1 (одній) гривні Єдиного ліміту;</w:t>
      </w:r>
    </w:p>
    <w:p w14:paraId="0AF5DD89" w14:textId="7F20FEEC" w:rsidR="00ED3527" w:rsidRPr="005D1193" w:rsidRDefault="005A2E88"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гарантійне з</w:t>
      </w:r>
      <w:r w:rsidR="00ED3527" w:rsidRPr="005D1193">
        <w:rPr>
          <w:sz w:val="24"/>
          <w:szCs w:val="24"/>
          <w:lang w:val="uk-UA"/>
        </w:rPr>
        <w:t xml:space="preserve">абезпечення учасника клірингу в цінних паперах враховується в Єдиному ліміті на підставі грошової оцінки </w:t>
      </w:r>
      <w:r w:rsidRPr="005D1193">
        <w:rPr>
          <w:sz w:val="24"/>
          <w:szCs w:val="24"/>
          <w:lang w:val="uk-UA"/>
        </w:rPr>
        <w:t xml:space="preserve">гарантійного </w:t>
      </w:r>
      <w:r w:rsidR="00ED3527" w:rsidRPr="005D1193">
        <w:rPr>
          <w:sz w:val="24"/>
          <w:szCs w:val="24"/>
          <w:lang w:val="uk-UA"/>
        </w:rPr>
        <w:t>забезпечення кожного пакету цінних паперів певного випуску</w:t>
      </w:r>
    </w:p>
    <w:p w14:paraId="64185E28" w14:textId="6372EC8E" w:rsidR="0048667F" w:rsidRDefault="0048667F" w:rsidP="000A39DA">
      <w:pPr>
        <w:tabs>
          <w:tab w:val="left" w:pos="993"/>
        </w:tabs>
        <w:spacing w:after="120"/>
        <w:ind w:firstLine="709"/>
        <w:jc w:val="center"/>
        <w:rPr>
          <w:rFonts w:ascii="Times New Roman" w:hAnsi="Times New Roman"/>
          <w:sz w:val="24"/>
          <w:szCs w:val="24"/>
        </w:rPr>
      </w:pPr>
      <w:r w:rsidRPr="0017658E">
        <w:rPr>
          <w:rFonts w:ascii="Times New Roman" w:hAnsi="Times New Roman"/>
          <w:b/>
          <w:sz w:val="24"/>
          <w:szCs w:val="24"/>
        </w:rPr>
        <w:t>ОВП = РВ * (КК - ДКК)</w:t>
      </w:r>
      <w:r w:rsidR="005D67E0">
        <w:rPr>
          <w:rFonts w:ascii="Times New Roman" w:hAnsi="Times New Roman"/>
          <w:sz w:val="24"/>
          <w:szCs w:val="24"/>
        </w:rPr>
        <w:t>, де</w:t>
      </w:r>
    </w:p>
    <w:p w14:paraId="66ADE244" w14:textId="77777777" w:rsidR="005D67E0" w:rsidRDefault="005D67E0" w:rsidP="005D67E0">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ОВП – оціночна вартість цінного паперу певного випуску (грн. за 1 шт.);</w:t>
      </w:r>
    </w:p>
    <w:p w14:paraId="27FA594C" w14:textId="344646BA" w:rsidR="005D67E0" w:rsidRPr="005D1193" w:rsidRDefault="005D67E0" w:rsidP="005D67E0">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РВ – визначена Розрахунковим центром на дату розрахунку ринкова вартість цінного паперу певного випуску (</w:t>
      </w:r>
      <w:r>
        <w:rPr>
          <w:rFonts w:ascii="Times New Roman" w:hAnsi="Times New Roman"/>
          <w:sz w:val="24"/>
          <w:szCs w:val="24"/>
        </w:rPr>
        <w:t>грн.</w:t>
      </w:r>
      <w:r w:rsidRPr="005D1193">
        <w:rPr>
          <w:rFonts w:ascii="Times New Roman" w:hAnsi="Times New Roman"/>
          <w:sz w:val="24"/>
          <w:szCs w:val="24"/>
        </w:rPr>
        <w:t xml:space="preserve"> за 1 шт.);</w:t>
      </w:r>
    </w:p>
    <w:p w14:paraId="09939931" w14:textId="77777777" w:rsidR="005D67E0" w:rsidRPr="005D1193" w:rsidRDefault="005D67E0" w:rsidP="005D67E0">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КК – визначений НБУ на дату розрахунку коригуючий коефіцієнт для цінних паперів певного випуску (приймає значення від 0 до 1);</w:t>
      </w:r>
    </w:p>
    <w:p w14:paraId="7E68B0AF" w14:textId="44ABF376" w:rsidR="005D67E0" w:rsidRDefault="005D67E0" w:rsidP="005D67E0">
      <w:pPr>
        <w:tabs>
          <w:tab w:val="left" w:pos="567"/>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ДКК – визначений Розрахунковим центром на дату розрахунку додатковий коригуючий коефіцієнт для цінних паперів певного випуску (приймає значення від 0 до 1).</w:t>
      </w:r>
    </w:p>
    <w:p w14:paraId="15409076" w14:textId="3E57E57D" w:rsidR="00ED3527" w:rsidRDefault="00ED3527" w:rsidP="000A39DA">
      <w:pPr>
        <w:tabs>
          <w:tab w:val="left" w:pos="993"/>
        </w:tabs>
        <w:spacing w:after="120"/>
        <w:ind w:firstLine="709"/>
        <w:jc w:val="center"/>
        <w:rPr>
          <w:rFonts w:ascii="Times New Roman" w:hAnsi="Times New Roman"/>
          <w:sz w:val="24"/>
          <w:szCs w:val="24"/>
        </w:rPr>
      </w:pPr>
      <w:r w:rsidRPr="0017658E">
        <w:rPr>
          <w:rFonts w:ascii="Times New Roman" w:hAnsi="Times New Roman"/>
          <w:b/>
          <w:sz w:val="24"/>
          <w:szCs w:val="24"/>
        </w:rPr>
        <w:t xml:space="preserve">ОП = </w:t>
      </w:r>
      <w:r w:rsidR="00AC3053" w:rsidRPr="0017658E">
        <w:rPr>
          <w:rFonts w:ascii="Times New Roman" w:hAnsi="Times New Roman"/>
          <w:b/>
          <w:sz w:val="24"/>
          <w:szCs w:val="24"/>
        </w:rPr>
        <w:t>К</w:t>
      </w:r>
      <w:r w:rsidRPr="0017658E">
        <w:rPr>
          <w:rFonts w:ascii="Times New Roman" w:hAnsi="Times New Roman"/>
          <w:b/>
          <w:sz w:val="24"/>
          <w:szCs w:val="24"/>
        </w:rPr>
        <w:t xml:space="preserve"> * </w:t>
      </w:r>
      <w:r w:rsidR="0048667F" w:rsidRPr="0017658E">
        <w:rPr>
          <w:rFonts w:ascii="Times New Roman" w:hAnsi="Times New Roman"/>
          <w:b/>
          <w:sz w:val="24"/>
          <w:szCs w:val="24"/>
        </w:rPr>
        <w:t>ОВП</w:t>
      </w:r>
      <w:r w:rsidR="005D67E0">
        <w:rPr>
          <w:rFonts w:ascii="Times New Roman" w:hAnsi="Times New Roman"/>
          <w:sz w:val="24"/>
          <w:szCs w:val="24"/>
        </w:rPr>
        <w:t>, де</w:t>
      </w:r>
    </w:p>
    <w:p w14:paraId="57230157" w14:textId="07142A8F" w:rsidR="005D67E0" w:rsidRPr="005D1193" w:rsidRDefault="005D67E0" w:rsidP="005D67E0">
      <w:pPr>
        <w:tabs>
          <w:tab w:val="left" w:pos="993"/>
        </w:tabs>
        <w:spacing w:after="120" w:line="240" w:lineRule="auto"/>
        <w:ind w:firstLine="709"/>
        <w:jc w:val="both"/>
        <w:rPr>
          <w:rFonts w:ascii="Times New Roman" w:hAnsi="Times New Roman"/>
          <w:sz w:val="24"/>
          <w:szCs w:val="24"/>
        </w:rPr>
      </w:pPr>
      <w:r>
        <w:rPr>
          <w:rFonts w:ascii="Times New Roman" w:hAnsi="Times New Roman"/>
          <w:sz w:val="24"/>
          <w:szCs w:val="24"/>
        </w:rPr>
        <w:t>О</w:t>
      </w:r>
      <w:r w:rsidRPr="005D1193">
        <w:rPr>
          <w:rFonts w:ascii="Times New Roman" w:hAnsi="Times New Roman"/>
          <w:sz w:val="24"/>
          <w:szCs w:val="24"/>
        </w:rPr>
        <w:t>П – оціночна вартість пакету цінних паперів (грн.);</w:t>
      </w:r>
    </w:p>
    <w:p w14:paraId="74F74C6E" w14:textId="2BB17363" w:rsidR="005D67E0" w:rsidRPr="005D1193" w:rsidRDefault="005D67E0" w:rsidP="005D67E0">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К – кількість цінних паперів певного випуску в гарантійному забезпеченні</w:t>
      </w:r>
      <w:r>
        <w:rPr>
          <w:rFonts w:ascii="Times New Roman" w:hAnsi="Times New Roman"/>
          <w:sz w:val="24"/>
          <w:szCs w:val="24"/>
        </w:rPr>
        <w:t xml:space="preserve"> (шт.).</w:t>
      </w:r>
    </w:p>
    <w:p w14:paraId="15DF0BEC" w14:textId="7A60E4C7" w:rsidR="00F444DE" w:rsidRPr="005D1193" w:rsidRDefault="00F444DE"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В </w:t>
      </w:r>
      <w:r w:rsidR="00972932" w:rsidRPr="005D1193">
        <w:rPr>
          <w:rFonts w:ascii="Times New Roman" w:hAnsi="Times New Roman"/>
          <w:sz w:val="24"/>
          <w:szCs w:val="24"/>
        </w:rPr>
        <w:t xml:space="preserve">операційний день, що передує </w:t>
      </w:r>
      <w:r w:rsidRPr="005D1193">
        <w:rPr>
          <w:rFonts w:ascii="Times New Roman" w:hAnsi="Times New Roman"/>
          <w:sz w:val="24"/>
          <w:szCs w:val="24"/>
        </w:rPr>
        <w:t>дат</w:t>
      </w:r>
      <w:r w:rsidR="00972932" w:rsidRPr="005D1193">
        <w:rPr>
          <w:rFonts w:ascii="Times New Roman" w:hAnsi="Times New Roman"/>
          <w:sz w:val="24"/>
          <w:szCs w:val="24"/>
        </w:rPr>
        <w:t>і</w:t>
      </w:r>
      <w:r w:rsidRPr="005D1193">
        <w:rPr>
          <w:rFonts w:ascii="Times New Roman" w:hAnsi="Times New Roman"/>
          <w:sz w:val="24"/>
          <w:szCs w:val="24"/>
        </w:rPr>
        <w:t xml:space="preserve"> погашення</w:t>
      </w:r>
      <w:r w:rsidR="005E4929" w:rsidRPr="005D1193">
        <w:rPr>
          <w:rFonts w:ascii="Times New Roman" w:hAnsi="Times New Roman"/>
          <w:sz w:val="24"/>
          <w:szCs w:val="24"/>
        </w:rPr>
        <w:t xml:space="preserve">, </w:t>
      </w:r>
      <w:r w:rsidR="001932DD" w:rsidRPr="005D1193">
        <w:rPr>
          <w:rFonts w:ascii="Times New Roman" w:hAnsi="Times New Roman"/>
          <w:sz w:val="24"/>
          <w:szCs w:val="24"/>
        </w:rPr>
        <w:t xml:space="preserve">для </w:t>
      </w:r>
      <w:r w:rsidRPr="005D1193">
        <w:rPr>
          <w:rFonts w:ascii="Times New Roman" w:hAnsi="Times New Roman"/>
          <w:sz w:val="24"/>
          <w:szCs w:val="24"/>
        </w:rPr>
        <w:t>цінн</w:t>
      </w:r>
      <w:r w:rsidR="001932DD" w:rsidRPr="005D1193">
        <w:rPr>
          <w:rFonts w:ascii="Times New Roman" w:hAnsi="Times New Roman"/>
          <w:sz w:val="24"/>
          <w:szCs w:val="24"/>
        </w:rPr>
        <w:t>их</w:t>
      </w:r>
      <w:r w:rsidRPr="005D1193">
        <w:rPr>
          <w:rFonts w:ascii="Times New Roman" w:hAnsi="Times New Roman"/>
          <w:sz w:val="24"/>
          <w:szCs w:val="24"/>
        </w:rPr>
        <w:t xml:space="preserve"> папер</w:t>
      </w:r>
      <w:r w:rsidR="001932DD" w:rsidRPr="005D1193">
        <w:rPr>
          <w:rFonts w:ascii="Times New Roman" w:hAnsi="Times New Roman"/>
          <w:sz w:val="24"/>
          <w:szCs w:val="24"/>
        </w:rPr>
        <w:t>ів</w:t>
      </w:r>
      <w:r w:rsidR="00436B98">
        <w:rPr>
          <w:rFonts w:ascii="Times New Roman" w:hAnsi="Times New Roman"/>
          <w:sz w:val="24"/>
          <w:szCs w:val="24"/>
        </w:rPr>
        <w:t>,</w:t>
      </w:r>
      <w:r w:rsidRPr="005D1193">
        <w:rPr>
          <w:rFonts w:ascii="Times New Roman" w:hAnsi="Times New Roman"/>
          <w:sz w:val="24"/>
          <w:szCs w:val="24"/>
        </w:rPr>
        <w:t xml:space="preserve"> </w:t>
      </w:r>
      <w:r w:rsidR="00972932" w:rsidRPr="005D1193">
        <w:rPr>
          <w:rFonts w:ascii="Times New Roman" w:hAnsi="Times New Roman"/>
          <w:sz w:val="24"/>
          <w:szCs w:val="24"/>
        </w:rPr>
        <w:t>номінован</w:t>
      </w:r>
      <w:r w:rsidR="001932DD" w:rsidRPr="005D1193">
        <w:rPr>
          <w:rFonts w:ascii="Times New Roman" w:hAnsi="Times New Roman"/>
          <w:sz w:val="24"/>
          <w:szCs w:val="24"/>
        </w:rPr>
        <w:t>их</w:t>
      </w:r>
      <w:r w:rsidR="00972932" w:rsidRPr="005D1193">
        <w:rPr>
          <w:rFonts w:ascii="Times New Roman" w:hAnsi="Times New Roman"/>
          <w:sz w:val="24"/>
          <w:szCs w:val="24"/>
        </w:rPr>
        <w:t xml:space="preserve"> в </w:t>
      </w:r>
      <w:r w:rsidR="00FB1DF4" w:rsidRPr="005D1193">
        <w:rPr>
          <w:rFonts w:ascii="Times New Roman" w:hAnsi="Times New Roman"/>
          <w:sz w:val="24"/>
          <w:szCs w:val="24"/>
        </w:rPr>
        <w:t>гривні</w:t>
      </w:r>
      <w:r w:rsidR="00436B98">
        <w:rPr>
          <w:rFonts w:ascii="Times New Roman" w:hAnsi="Times New Roman"/>
          <w:sz w:val="24"/>
          <w:szCs w:val="24"/>
        </w:rPr>
        <w:t>,</w:t>
      </w:r>
      <w:r w:rsidR="00FB1DF4" w:rsidRPr="005D1193">
        <w:rPr>
          <w:rFonts w:ascii="Times New Roman" w:hAnsi="Times New Roman"/>
          <w:sz w:val="24"/>
          <w:szCs w:val="24"/>
        </w:rPr>
        <w:t xml:space="preserve"> та </w:t>
      </w:r>
      <w:r w:rsidR="001932DD" w:rsidRPr="005D1193">
        <w:rPr>
          <w:rFonts w:ascii="Times New Roman" w:hAnsi="Times New Roman"/>
          <w:sz w:val="24"/>
          <w:szCs w:val="24"/>
        </w:rPr>
        <w:t xml:space="preserve">в операційний день, </w:t>
      </w:r>
      <w:r w:rsidR="00732020">
        <w:rPr>
          <w:rFonts w:ascii="Times New Roman" w:hAnsi="Times New Roman"/>
          <w:sz w:val="24"/>
          <w:szCs w:val="24"/>
        </w:rPr>
        <w:t>за день до</w:t>
      </w:r>
      <w:r w:rsidR="001932DD" w:rsidRPr="005D1193">
        <w:rPr>
          <w:rFonts w:ascii="Times New Roman" w:hAnsi="Times New Roman"/>
          <w:sz w:val="24"/>
          <w:szCs w:val="24"/>
        </w:rPr>
        <w:t xml:space="preserve"> дат</w:t>
      </w:r>
      <w:r w:rsidR="00732020">
        <w:rPr>
          <w:rFonts w:ascii="Times New Roman" w:hAnsi="Times New Roman"/>
          <w:sz w:val="24"/>
          <w:szCs w:val="24"/>
        </w:rPr>
        <w:t>и</w:t>
      </w:r>
      <w:r w:rsidR="001932DD" w:rsidRPr="005D1193">
        <w:rPr>
          <w:rFonts w:ascii="Times New Roman" w:hAnsi="Times New Roman"/>
          <w:sz w:val="24"/>
          <w:szCs w:val="24"/>
        </w:rPr>
        <w:t xml:space="preserve"> погашення</w:t>
      </w:r>
      <w:r w:rsidR="005E4929" w:rsidRPr="005D1193">
        <w:rPr>
          <w:rFonts w:ascii="Times New Roman" w:hAnsi="Times New Roman"/>
          <w:sz w:val="24"/>
          <w:szCs w:val="24"/>
        </w:rPr>
        <w:t>,</w:t>
      </w:r>
      <w:r w:rsidR="001932DD" w:rsidRPr="005D1193">
        <w:rPr>
          <w:rFonts w:ascii="Times New Roman" w:hAnsi="Times New Roman"/>
          <w:sz w:val="24"/>
          <w:szCs w:val="24"/>
        </w:rPr>
        <w:t xml:space="preserve"> для цінних паперів</w:t>
      </w:r>
      <w:r w:rsidR="00436B98">
        <w:rPr>
          <w:rFonts w:ascii="Times New Roman" w:hAnsi="Times New Roman"/>
          <w:sz w:val="24"/>
          <w:szCs w:val="24"/>
        </w:rPr>
        <w:t>,</w:t>
      </w:r>
      <w:r w:rsidR="001932DD" w:rsidRPr="005D1193">
        <w:rPr>
          <w:rFonts w:ascii="Times New Roman" w:hAnsi="Times New Roman"/>
          <w:sz w:val="24"/>
          <w:szCs w:val="24"/>
        </w:rPr>
        <w:t xml:space="preserve"> номінованих в інших валютах</w:t>
      </w:r>
      <w:r w:rsidR="00436B98">
        <w:rPr>
          <w:rFonts w:ascii="Times New Roman" w:hAnsi="Times New Roman"/>
          <w:sz w:val="24"/>
          <w:szCs w:val="24"/>
        </w:rPr>
        <w:t>,</w:t>
      </w:r>
      <w:r w:rsidR="00972932" w:rsidRPr="005D1193">
        <w:rPr>
          <w:rFonts w:ascii="Times New Roman" w:hAnsi="Times New Roman"/>
          <w:sz w:val="24"/>
          <w:szCs w:val="24"/>
        </w:rPr>
        <w:t xml:space="preserve"> </w:t>
      </w:r>
      <w:r w:rsidRPr="005D1193">
        <w:rPr>
          <w:rFonts w:ascii="Times New Roman" w:hAnsi="Times New Roman"/>
          <w:sz w:val="24"/>
          <w:szCs w:val="24"/>
        </w:rPr>
        <w:t>додатковий коригуючий коефіцієнт (ДКК) встановлюється рівним коригуючому коефіцієнту (КК).</w:t>
      </w:r>
    </w:p>
    <w:p w14:paraId="0285920B" w14:textId="24E486AF" w:rsidR="00ED3527" w:rsidRPr="005D1193" w:rsidRDefault="00ED3527" w:rsidP="000A39DA">
      <w:pPr>
        <w:tabs>
          <w:tab w:val="left" w:pos="993"/>
        </w:tabs>
        <w:spacing w:after="120"/>
        <w:ind w:firstLine="709"/>
        <w:jc w:val="both"/>
        <w:rPr>
          <w:rFonts w:ascii="Times New Roman" w:hAnsi="Times New Roman"/>
          <w:sz w:val="24"/>
          <w:szCs w:val="24"/>
        </w:rPr>
      </w:pPr>
      <w:r w:rsidRPr="005D1193">
        <w:rPr>
          <w:rFonts w:ascii="Times New Roman" w:hAnsi="Times New Roman"/>
          <w:sz w:val="24"/>
          <w:szCs w:val="24"/>
        </w:rPr>
        <w:t>5.4.</w:t>
      </w:r>
      <w:r w:rsidR="00D95671" w:rsidRPr="005D1193">
        <w:rPr>
          <w:rFonts w:ascii="Times New Roman" w:hAnsi="Times New Roman"/>
          <w:sz w:val="24"/>
          <w:szCs w:val="24"/>
        </w:rPr>
        <w:t>4</w:t>
      </w:r>
      <w:r w:rsidRPr="005D1193">
        <w:rPr>
          <w:rFonts w:ascii="Times New Roman" w:hAnsi="Times New Roman"/>
          <w:sz w:val="24"/>
          <w:szCs w:val="24"/>
        </w:rPr>
        <w:t>. Єдиний ліміт розраховується на підставі сумарної оцінки коштів та пакетів цінних паперів різних випусків, внесених до складу гарантійного забезпечення:</w:t>
      </w:r>
    </w:p>
    <w:p w14:paraId="5940692A" w14:textId="2647160B" w:rsidR="00ED3527" w:rsidRPr="00B64815" w:rsidRDefault="0017658E" w:rsidP="00B64815">
      <w:pPr>
        <w:tabs>
          <w:tab w:val="left" w:pos="993"/>
        </w:tabs>
        <w:spacing w:after="120"/>
        <w:ind w:firstLine="709"/>
        <w:jc w:val="center"/>
        <w:rPr>
          <w:rFonts w:ascii="Times New Roman" w:hAnsi="Times New Roman"/>
          <w:sz w:val="24"/>
          <w:szCs w:val="24"/>
        </w:rPr>
      </w:pPr>
      <m:oMath>
        <m:r>
          <m:rPr>
            <m:sty m:val="p"/>
          </m:rPr>
          <w:rPr>
            <w:rFonts w:ascii="Cambria Math" w:hAnsi="Cambria Math"/>
            <w:sz w:val="24"/>
            <w:szCs w:val="24"/>
          </w:rPr>
          <m:t>Єдиний ліміт = Сума ГК +</m:t>
        </m:r>
        <m:nary>
          <m:naryPr>
            <m:chr m:val="∑"/>
            <m:limLoc m:val="undOvr"/>
            <m:ctrlPr>
              <w:rPr>
                <w:rFonts w:ascii="Cambria Math" w:hAnsi="Cambria Math"/>
                <w:sz w:val="24"/>
                <w:szCs w:val="24"/>
              </w:rPr>
            </m:ctrlPr>
          </m:naryPr>
          <m:sub>
            <m:r>
              <m:rPr>
                <m:sty m:val="p"/>
              </m:rPr>
              <w:rPr>
                <w:rFonts w:ascii="Cambria Math" w:hAnsi="Cambria Math"/>
                <w:sz w:val="24"/>
                <w:szCs w:val="24"/>
              </w:rPr>
              <m:t>i=1</m:t>
            </m:r>
          </m:sub>
          <m:sup>
            <m:r>
              <m:rPr>
                <m:sty m:val="p"/>
              </m:rPr>
              <w:rPr>
                <w:rFonts w:ascii="Cambria Math" w:hAnsi="Cambria Math"/>
                <w:sz w:val="24"/>
                <w:szCs w:val="24"/>
              </w:rPr>
              <m:t>n</m:t>
            </m:r>
          </m:sup>
          <m:e>
            <m:r>
              <m:rPr>
                <m:sty m:val="p"/>
              </m:rPr>
              <w:rPr>
                <w:rFonts w:ascii="Cambria Math" w:hAnsi="Cambria Math"/>
                <w:sz w:val="24"/>
                <w:szCs w:val="24"/>
              </w:rPr>
              <m:t>ОПi</m:t>
            </m:r>
          </m:e>
        </m:nary>
      </m:oMath>
      <w:r w:rsidR="00D5726D">
        <w:rPr>
          <w:rFonts w:ascii="Times New Roman" w:hAnsi="Times New Roman"/>
          <w:sz w:val="24"/>
          <w:szCs w:val="24"/>
        </w:rPr>
        <w:t>, де</w:t>
      </w:r>
    </w:p>
    <w:p w14:paraId="44018292" w14:textId="706D0E00" w:rsidR="00ED3527" w:rsidRPr="005D1193" w:rsidRDefault="00ED3527"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ОП</w:t>
      </w:r>
      <w:r w:rsidR="00357E07">
        <w:rPr>
          <w:rFonts w:ascii="Times New Roman" w:hAnsi="Times New Roman"/>
          <w:sz w:val="24"/>
          <w:szCs w:val="24"/>
        </w:rPr>
        <w:t>і</w:t>
      </w:r>
      <w:r w:rsidRPr="005D1193">
        <w:rPr>
          <w:rFonts w:ascii="Times New Roman" w:hAnsi="Times New Roman"/>
          <w:i/>
          <w:sz w:val="24"/>
          <w:szCs w:val="24"/>
        </w:rPr>
        <w:t xml:space="preserve"> </w:t>
      </w:r>
      <w:r w:rsidRPr="005D1193">
        <w:rPr>
          <w:rFonts w:ascii="Times New Roman" w:hAnsi="Times New Roman"/>
          <w:sz w:val="24"/>
          <w:szCs w:val="24"/>
        </w:rPr>
        <w:t xml:space="preserve">– </w:t>
      </w:r>
      <w:r w:rsidR="00FB6CFB" w:rsidRPr="005D1193">
        <w:rPr>
          <w:rFonts w:ascii="Times New Roman" w:hAnsi="Times New Roman"/>
          <w:sz w:val="24"/>
          <w:szCs w:val="24"/>
        </w:rPr>
        <w:t xml:space="preserve">оціночна </w:t>
      </w:r>
      <w:r w:rsidRPr="005D1193">
        <w:rPr>
          <w:rFonts w:ascii="Times New Roman" w:hAnsi="Times New Roman"/>
          <w:sz w:val="24"/>
          <w:szCs w:val="24"/>
        </w:rPr>
        <w:t xml:space="preserve">вартість </w:t>
      </w:r>
      <w:r w:rsidR="00FB6CFB" w:rsidRPr="005D1193">
        <w:rPr>
          <w:rFonts w:ascii="Times New Roman" w:hAnsi="Times New Roman"/>
          <w:sz w:val="24"/>
          <w:szCs w:val="24"/>
        </w:rPr>
        <w:t xml:space="preserve">пакету </w:t>
      </w:r>
      <w:r w:rsidRPr="005D1193">
        <w:rPr>
          <w:rFonts w:ascii="Times New Roman" w:hAnsi="Times New Roman"/>
          <w:sz w:val="24"/>
          <w:szCs w:val="24"/>
        </w:rPr>
        <w:t>і-го випуску цінних паперів</w:t>
      </w:r>
      <w:r w:rsidR="001F1398">
        <w:rPr>
          <w:rFonts w:ascii="Times New Roman" w:hAnsi="Times New Roman"/>
          <w:sz w:val="24"/>
          <w:szCs w:val="24"/>
        </w:rPr>
        <w:t xml:space="preserve"> (грн.)</w:t>
      </w:r>
      <w:r w:rsidRPr="005D1193">
        <w:rPr>
          <w:rFonts w:ascii="Times New Roman" w:hAnsi="Times New Roman"/>
          <w:sz w:val="24"/>
          <w:szCs w:val="24"/>
        </w:rPr>
        <w:t>.</w:t>
      </w:r>
    </w:p>
    <w:p w14:paraId="08FAFCAD" w14:textId="6C006240" w:rsidR="005A2AA3" w:rsidRPr="005D1193" w:rsidRDefault="005A2AA3"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5</w:t>
      </w:r>
      <w:r w:rsidR="003B4F10" w:rsidRPr="005D1193">
        <w:rPr>
          <w:rFonts w:ascii="Times New Roman" w:hAnsi="Times New Roman"/>
          <w:sz w:val="24"/>
          <w:szCs w:val="24"/>
        </w:rPr>
        <w:t>.4.</w:t>
      </w:r>
      <w:r w:rsidR="00D95671" w:rsidRPr="005D1193">
        <w:rPr>
          <w:rFonts w:ascii="Times New Roman" w:hAnsi="Times New Roman"/>
          <w:sz w:val="24"/>
          <w:szCs w:val="24"/>
        </w:rPr>
        <w:t>5</w:t>
      </w:r>
      <w:r w:rsidRPr="005D1193">
        <w:rPr>
          <w:rFonts w:ascii="Times New Roman" w:hAnsi="Times New Roman"/>
          <w:sz w:val="24"/>
          <w:szCs w:val="24"/>
        </w:rPr>
        <w:t xml:space="preserve">. </w:t>
      </w:r>
      <w:r w:rsidR="003B4F10" w:rsidRPr="005D1193">
        <w:rPr>
          <w:rFonts w:ascii="Times New Roman" w:hAnsi="Times New Roman"/>
          <w:sz w:val="24"/>
          <w:szCs w:val="24"/>
        </w:rPr>
        <w:t>Розрахунковий центр акцептує заявки учасників торгів та укладає договори РЕПО, які</w:t>
      </w:r>
      <w:r w:rsidRPr="005D1193">
        <w:rPr>
          <w:rFonts w:ascii="Times New Roman" w:hAnsi="Times New Roman"/>
          <w:sz w:val="24"/>
          <w:szCs w:val="24"/>
        </w:rPr>
        <w:t xml:space="preserve"> відповідають наступним вимогам:</w:t>
      </w:r>
    </w:p>
    <w:p w14:paraId="1FBC1FF6" w14:textId="1428DF45" w:rsidR="005A2AA3" w:rsidRPr="005D1193" w:rsidRDefault="00AD1A92" w:rsidP="000A39DA">
      <w:pPr>
        <w:pStyle w:val="afc"/>
        <w:numPr>
          <w:ilvl w:val="0"/>
          <w:numId w:val="40"/>
        </w:numPr>
        <w:tabs>
          <w:tab w:val="left" w:pos="993"/>
        </w:tabs>
        <w:spacing w:after="120"/>
        <w:ind w:left="0" w:firstLine="709"/>
        <w:jc w:val="both"/>
        <w:rPr>
          <w:sz w:val="24"/>
          <w:szCs w:val="24"/>
          <w:lang w:val="uk-UA"/>
        </w:rPr>
      </w:pPr>
      <w:r>
        <w:rPr>
          <w:sz w:val="24"/>
          <w:szCs w:val="24"/>
          <w:lang w:val="uk-UA"/>
        </w:rPr>
        <w:t xml:space="preserve">заявки </w:t>
      </w:r>
      <w:r w:rsidR="00AA4CD7" w:rsidRPr="005D1193">
        <w:rPr>
          <w:sz w:val="24"/>
          <w:szCs w:val="24"/>
          <w:lang w:val="uk-UA"/>
        </w:rPr>
        <w:t>подані</w:t>
      </w:r>
      <w:r w:rsidR="005A2AA3" w:rsidRPr="005D1193">
        <w:rPr>
          <w:sz w:val="24"/>
          <w:szCs w:val="24"/>
          <w:lang w:val="uk-UA"/>
        </w:rPr>
        <w:t xml:space="preserve"> учасниками клірингу, які допущені до клірингових операцій Розрахункового центру </w:t>
      </w:r>
      <w:r w:rsidR="00AA4CD7" w:rsidRPr="005D1193">
        <w:rPr>
          <w:sz w:val="24"/>
          <w:szCs w:val="24"/>
          <w:lang w:val="uk-UA"/>
        </w:rPr>
        <w:t>в режимі</w:t>
      </w:r>
      <w:r w:rsidR="005A2AA3" w:rsidRPr="005D1193">
        <w:rPr>
          <w:sz w:val="24"/>
          <w:szCs w:val="24"/>
          <w:lang w:val="uk-UA"/>
        </w:rPr>
        <w:t xml:space="preserve"> </w:t>
      </w:r>
      <w:r w:rsidR="00F43030" w:rsidRPr="005D1193">
        <w:rPr>
          <w:sz w:val="24"/>
          <w:szCs w:val="24"/>
          <w:lang w:val="uk-UA"/>
        </w:rPr>
        <w:t>«</w:t>
      </w:r>
      <w:r w:rsidR="005A2AA3" w:rsidRPr="005D1193">
        <w:rPr>
          <w:sz w:val="24"/>
          <w:szCs w:val="24"/>
          <w:lang w:val="uk-UA"/>
        </w:rPr>
        <w:t>РЕПО з контролем ризиків</w:t>
      </w:r>
      <w:r w:rsidR="00F43030" w:rsidRPr="005D1193">
        <w:rPr>
          <w:sz w:val="24"/>
          <w:szCs w:val="24"/>
          <w:lang w:val="uk-UA"/>
        </w:rPr>
        <w:t>»</w:t>
      </w:r>
      <w:r w:rsidR="005A2AA3" w:rsidRPr="005D1193">
        <w:rPr>
          <w:sz w:val="24"/>
          <w:szCs w:val="24"/>
          <w:lang w:val="uk-UA"/>
        </w:rPr>
        <w:t>;</w:t>
      </w:r>
    </w:p>
    <w:p w14:paraId="0F22F32B" w14:textId="31B18E54" w:rsidR="005A2AA3" w:rsidRPr="005D1193" w:rsidRDefault="005A2AA3"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 xml:space="preserve">параметри </w:t>
      </w:r>
      <w:r w:rsidR="003B4F10" w:rsidRPr="005D1193">
        <w:rPr>
          <w:sz w:val="24"/>
          <w:szCs w:val="24"/>
          <w:lang w:val="uk-UA"/>
        </w:rPr>
        <w:t>заявок</w:t>
      </w:r>
      <w:r w:rsidRPr="005D1193">
        <w:rPr>
          <w:sz w:val="24"/>
          <w:szCs w:val="24"/>
          <w:lang w:val="uk-UA"/>
        </w:rPr>
        <w:t xml:space="preserve"> РЕПО відповідають вимогам</w:t>
      </w:r>
      <w:r w:rsidR="00AA4CD7" w:rsidRPr="005D1193">
        <w:rPr>
          <w:sz w:val="24"/>
          <w:szCs w:val="24"/>
          <w:lang w:val="uk-UA"/>
        </w:rPr>
        <w:t>,</w:t>
      </w:r>
      <w:r w:rsidRPr="005D1193">
        <w:rPr>
          <w:sz w:val="24"/>
          <w:szCs w:val="24"/>
          <w:lang w:val="uk-UA"/>
        </w:rPr>
        <w:t xml:space="preserve"> встановленим Регламентом провадження клірингової діяльності </w:t>
      </w:r>
      <w:r w:rsidR="00AA4CD7" w:rsidRPr="005D1193">
        <w:rPr>
          <w:sz w:val="24"/>
          <w:szCs w:val="24"/>
          <w:lang w:val="uk-UA"/>
        </w:rPr>
        <w:t>публічного акціонерного товариства "Розрахунковий центр з обслуговування договорів на фінансових ринках" (далі – Регламент провадження клірингової діяльності)</w:t>
      </w:r>
      <w:r w:rsidRPr="005D1193">
        <w:rPr>
          <w:sz w:val="24"/>
          <w:szCs w:val="24"/>
          <w:lang w:val="uk-UA"/>
        </w:rPr>
        <w:t>;</w:t>
      </w:r>
    </w:p>
    <w:p w14:paraId="3AA5DB95" w14:textId="684F435E" w:rsidR="00C23AC2" w:rsidRDefault="00C23AC2" w:rsidP="00307866">
      <w:pPr>
        <w:pStyle w:val="afc"/>
        <w:numPr>
          <w:ilvl w:val="0"/>
          <w:numId w:val="40"/>
        </w:numPr>
        <w:tabs>
          <w:tab w:val="left" w:pos="993"/>
        </w:tabs>
        <w:spacing w:after="120"/>
        <w:ind w:left="0" w:firstLine="709"/>
        <w:jc w:val="both"/>
        <w:rPr>
          <w:sz w:val="24"/>
          <w:szCs w:val="24"/>
          <w:lang w:val="uk-UA"/>
        </w:rPr>
      </w:pPr>
      <w:r w:rsidRPr="00C23AC2">
        <w:rPr>
          <w:sz w:val="24"/>
          <w:szCs w:val="24"/>
          <w:lang w:val="uk-UA"/>
        </w:rPr>
        <w:t xml:space="preserve">ціна цінного паперу </w:t>
      </w:r>
      <w:r>
        <w:rPr>
          <w:sz w:val="24"/>
          <w:szCs w:val="24"/>
          <w:lang w:val="uk-UA"/>
        </w:rPr>
        <w:t>в першій</w:t>
      </w:r>
      <w:r w:rsidRPr="00C23AC2">
        <w:rPr>
          <w:sz w:val="24"/>
          <w:szCs w:val="24"/>
          <w:lang w:val="uk-UA"/>
        </w:rPr>
        <w:t xml:space="preserve"> частин</w:t>
      </w:r>
      <w:r>
        <w:rPr>
          <w:sz w:val="24"/>
          <w:szCs w:val="24"/>
          <w:lang w:val="uk-UA"/>
        </w:rPr>
        <w:t>і</w:t>
      </w:r>
      <w:r w:rsidRPr="00C23AC2">
        <w:rPr>
          <w:sz w:val="24"/>
          <w:szCs w:val="24"/>
          <w:lang w:val="uk-UA"/>
        </w:rPr>
        <w:t xml:space="preserve"> договору РЕПО дорівнює ринковій </w:t>
      </w:r>
      <w:r>
        <w:rPr>
          <w:sz w:val="24"/>
          <w:szCs w:val="24"/>
          <w:lang w:val="uk-UA"/>
        </w:rPr>
        <w:t>вартості</w:t>
      </w:r>
      <w:r w:rsidRPr="00C23AC2">
        <w:rPr>
          <w:sz w:val="24"/>
          <w:szCs w:val="24"/>
          <w:lang w:val="uk-UA"/>
        </w:rPr>
        <w:t xml:space="preserve"> цього</w:t>
      </w:r>
      <w:r>
        <w:rPr>
          <w:sz w:val="24"/>
          <w:szCs w:val="24"/>
          <w:lang w:val="uk-UA"/>
        </w:rPr>
        <w:t xml:space="preserve"> цінного</w:t>
      </w:r>
      <w:r w:rsidRPr="00C23AC2">
        <w:rPr>
          <w:sz w:val="24"/>
          <w:szCs w:val="24"/>
          <w:lang w:val="uk-UA"/>
        </w:rPr>
        <w:t xml:space="preserve"> паперу</w:t>
      </w:r>
      <w:r w:rsidR="001834C9">
        <w:rPr>
          <w:sz w:val="24"/>
          <w:szCs w:val="24"/>
          <w:lang w:val="uk-UA"/>
        </w:rPr>
        <w:t xml:space="preserve">, яка знижена </w:t>
      </w:r>
      <w:r w:rsidRPr="00C23AC2">
        <w:rPr>
          <w:sz w:val="24"/>
          <w:szCs w:val="24"/>
          <w:lang w:val="uk-UA"/>
        </w:rPr>
        <w:t>на дисконт, який дорівнює коефіцієнту обліку зобов’язань;</w:t>
      </w:r>
    </w:p>
    <w:p w14:paraId="4AD76115" w14:textId="7C568EE7" w:rsidR="005A2AA3" w:rsidRPr="005D1193" w:rsidRDefault="003B4F10"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lastRenderedPageBreak/>
        <w:t>заявки спрямовані</w:t>
      </w:r>
      <w:r w:rsidR="005A2AA3" w:rsidRPr="005D1193">
        <w:rPr>
          <w:sz w:val="24"/>
          <w:szCs w:val="24"/>
          <w:lang w:val="uk-UA"/>
        </w:rPr>
        <w:t xml:space="preserve"> </w:t>
      </w:r>
      <w:r w:rsidR="006C4B26" w:rsidRPr="005D1193">
        <w:rPr>
          <w:sz w:val="24"/>
          <w:szCs w:val="24"/>
          <w:lang w:val="uk-UA"/>
        </w:rPr>
        <w:t>на</w:t>
      </w:r>
      <w:r w:rsidR="00BA776E" w:rsidRPr="005D1193">
        <w:rPr>
          <w:sz w:val="24"/>
          <w:szCs w:val="24"/>
          <w:lang w:val="uk-UA"/>
        </w:rPr>
        <w:t xml:space="preserve"> укладання </w:t>
      </w:r>
      <w:r w:rsidR="006C4B26" w:rsidRPr="005D1193">
        <w:rPr>
          <w:sz w:val="24"/>
          <w:szCs w:val="24"/>
          <w:lang w:val="uk-UA"/>
        </w:rPr>
        <w:t xml:space="preserve">біржових </w:t>
      </w:r>
      <w:r w:rsidR="00BA776E" w:rsidRPr="005D1193">
        <w:rPr>
          <w:sz w:val="24"/>
          <w:szCs w:val="24"/>
          <w:lang w:val="uk-UA"/>
        </w:rPr>
        <w:t xml:space="preserve">правочинів з </w:t>
      </w:r>
      <w:r w:rsidR="00AA4CD7" w:rsidRPr="005D1193">
        <w:rPr>
          <w:sz w:val="24"/>
          <w:szCs w:val="24"/>
          <w:lang w:val="uk-UA"/>
        </w:rPr>
        <w:t>ц</w:t>
      </w:r>
      <w:r w:rsidR="00BA776E" w:rsidRPr="005D1193">
        <w:rPr>
          <w:sz w:val="24"/>
          <w:szCs w:val="24"/>
          <w:lang w:val="uk-UA"/>
        </w:rPr>
        <w:t>ентральним контрагентом</w:t>
      </w:r>
      <w:r w:rsidR="005A2AA3" w:rsidRPr="005D1193">
        <w:rPr>
          <w:sz w:val="24"/>
          <w:szCs w:val="24"/>
          <w:lang w:val="uk-UA"/>
        </w:rPr>
        <w:t>, функцію якого виконує Розрахунковий центр;</w:t>
      </w:r>
    </w:p>
    <w:p w14:paraId="43B43FC4" w14:textId="0108220C" w:rsidR="005A2AA3" w:rsidRPr="005D1193" w:rsidRDefault="005A2AA3" w:rsidP="000A39DA">
      <w:pPr>
        <w:pStyle w:val="afc"/>
        <w:numPr>
          <w:ilvl w:val="0"/>
          <w:numId w:val="40"/>
        </w:numPr>
        <w:tabs>
          <w:tab w:val="left" w:pos="993"/>
        </w:tabs>
        <w:spacing w:after="120"/>
        <w:ind w:left="0" w:firstLine="709"/>
        <w:jc w:val="both"/>
        <w:rPr>
          <w:sz w:val="24"/>
          <w:szCs w:val="24"/>
          <w:lang w:val="uk-UA"/>
        </w:rPr>
      </w:pPr>
      <w:r w:rsidRPr="005D1193">
        <w:rPr>
          <w:sz w:val="24"/>
          <w:szCs w:val="24"/>
          <w:lang w:val="uk-UA"/>
        </w:rPr>
        <w:t xml:space="preserve">учасник клірингу має </w:t>
      </w:r>
      <w:r w:rsidR="00A74122" w:rsidRPr="005D1193">
        <w:rPr>
          <w:sz w:val="24"/>
          <w:szCs w:val="24"/>
          <w:lang w:val="uk-UA"/>
        </w:rPr>
        <w:t>В</w:t>
      </w:r>
      <w:r w:rsidR="00983B44" w:rsidRPr="005D1193">
        <w:rPr>
          <w:sz w:val="24"/>
          <w:szCs w:val="24"/>
          <w:lang w:val="uk-UA"/>
        </w:rPr>
        <w:t>ільний</w:t>
      </w:r>
      <w:r w:rsidRPr="005D1193">
        <w:rPr>
          <w:sz w:val="24"/>
          <w:szCs w:val="24"/>
          <w:lang w:val="uk-UA"/>
        </w:rPr>
        <w:t xml:space="preserve"> ліміт в достатньому розмірі для забезпечення зобов</w:t>
      </w:r>
      <w:r w:rsidR="005F41FA" w:rsidRPr="005D1193">
        <w:rPr>
          <w:sz w:val="24"/>
          <w:szCs w:val="24"/>
          <w:lang w:val="uk-UA"/>
        </w:rPr>
        <w:t>’</w:t>
      </w:r>
      <w:r w:rsidRPr="005D1193">
        <w:rPr>
          <w:sz w:val="24"/>
          <w:szCs w:val="24"/>
          <w:lang w:val="uk-UA"/>
        </w:rPr>
        <w:t>язань відповідно до Регламенту провадження клірингової діяльності.</w:t>
      </w:r>
    </w:p>
    <w:p w14:paraId="74FF1393" w14:textId="696D33E5" w:rsidR="00ED3527" w:rsidRPr="005D1193" w:rsidRDefault="006A3F2D"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Розрахунковий центр акцептує заявки на укладання договорів РЕПО</w:t>
      </w:r>
      <w:r w:rsidR="00ED3527" w:rsidRPr="005D1193">
        <w:rPr>
          <w:rFonts w:ascii="Times New Roman" w:hAnsi="Times New Roman"/>
          <w:sz w:val="24"/>
          <w:szCs w:val="24"/>
        </w:rPr>
        <w:t xml:space="preserve"> в разі достатності </w:t>
      </w:r>
      <w:r w:rsidR="00A74122" w:rsidRPr="005D1193">
        <w:rPr>
          <w:rFonts w:ascii="Times New Roman" w:hAnsi="Times New Roman"/>
          <w:sz w:val="24"/>
          <w:szCs w:val="24"/>
        </w:rPr>
        <w:t>В</w:t>
      </w:r>
      <w:r w:rsidR="00ED3527" w:rsidRPr="005D1193">
        <w:rPr>
          <w:rFonts w:ascii="Times New Roman" w:hAnsi="Times New Roman"/>
          <w:sz w:val="24"/>
          <w:szCs w:val="24"/>
        </w:rPr>
        <w:t>ільно</w:t>
      </w:r>
      <w:r w:rsidR="00A74122" w:rsidRPr="005D1193">
        <w:rPr>
          <w:rFonts w:ascii="Times New Roman" w:hAnsi="Times New Roman"/>
          <w:sz w:val="24"/>
          <w:szCs w:val="24"/>
        </w:rPr>
        <w:t>го</w:t>
      </w:r>
      <w:r w:rsidR="00ED3527" w:rsidRPr="005D1193">
        <w:rPr>
          <w:rFonts w:ascii="Times New Roman" w:hAnsi="Times New Roman"/>
          <w:sz w:val="24"/>
          <w:szCs w:val="24"/>
        </w:rPr>
        <w:t xml:space="preserve"> ліміту </w:t>
      </w:r>
      <w:r w:rsidR="00AA4CD7" w:rsidRPr="005D1193">
        <w:rPr>
          <w:rFonts w:ascii="Times New Roman" w:hAnsi="Times New Roman"/>
          <w:sz w:val="24"/>
          <w:szCs w:val="24"/>
        </w:rPr>
        <w:t xml:space="preserve">учасника клірингу, який </w:t>
      </w:r>
      <w:r w:rsidR="006C4B26" w:rsidRPr="005D1193">
        <w:rPr>
          <w:rFonts w:ascii="Times New Roman" w:hAnsi="Times New Roman"/>
          <w:sz w:val="24"/>
          <w:szCs w:val="24"/>
        </w:rPr>
        <w:t xml:space="preserve">подав ці заявки на укладання договорів РЕПО, </w:t>
      </w:r>
      <w:r w:rsidR="00ED3527" w:rsidRPr="005D1193">
        <w:rPr>
          <w:rFonts w:ascii="Times New Roman" w:hAnsi="Times New Roman"/>
          <w:sz w:val="24"/>
          <w:szCs w:val="24"/>
        </w:rPr>
        <w:t>з врахуванням заблокованої частини Єдиного ліміт</w:t>
      </w:r>
      <w:r w:rsidR="00983B44" w:rsidRPr="005D1193">
        <w:rPr>
          <w:rFonts w:ascii="Times New Roman" w:hAnsi="Times New Roman"/>
          <w:sz w:val="24"/>
          <w:szCs w:val="24"/>
        </w:rPr>
        <w:t>у</w:t>
      </w:r>
      <w:r w:rsidR="00ED3527" w:rsidRPr="005D1193">
        <w:rPr>
          <w:rFonts w:ascii="Times New Roman" w:hAnsi="Times New Roman"/>
          <w:sz w:val="24"/>
          <w:szCs w:val="24"/>
        </w:rPr>
        <w:t xml:space="preserve"> </w:t>
      </w:r>
      <w:r w:rsidR="001E31FC">
        <w:rPr>
          <w:rFonts w:ascii="Times New Roman" w:hAnsi="Times New Roman"/>
          <w:sz w:val="24"/>
          <w:szCs w:val="24"/>
        </w:rPr>
        <w:t xml:space="preserve">(Заблокований ліміт) </w:t>
      </w:r>
      <w:r w:rsidR="00ED3527" w:rsidRPr="005D1193">
        <w:rPr>
          <w:rFonts w:ascii="Times New Roman" w:hAnsi="Times New Roman"/>
          <w:sz w:val="24"/>
          <w:szCs w:val="24"/>
        </w:rPr>
        <w:t>під поточні та майбутні зобов</w:t>
      </w:r>
      <w:r w:rsidR="005F41FA" w:rsidRPr="005D1193">
        <w:rPr>
          <w:rFonts w:ascii="Times New Roman" w:hAnsi="Times New Roman"/>
          <w:sz w:val="24"/>
          <w:szCs w:val="24"/>
        </w:rPr>
        <w:t>’</w:t>
      </w:r>
      <w:r w:rsidR="00ED3527" w:rsidRPr="005D1193">
        <w:rPr>
          <w:rFonts w:ascii="Times New Roman" w:hAnsi="Times New Roman"/>
          <w:sz w:val="24"/>
          <w:szCs w:val="24"/>
        </w:rPr>
        <w:t>язання учасника клірингу:</w:t>
      </w:r>
    </w:p>
    <w:p w14:paraId="7FF5F2F0" w14:textId="2028D745" w:rsidR="00ED3527" w:rsidRPr="00357E07" w:rsidRDefault="00CC31C5" w:rsidP="000A39DA">
      <w:pPr>
        <w:pStyle w:val="a5"/>
        <w:tabs>
          <w:tab w:val="left" w:pos="993"/>
        </w:tabs>
        <w:spacing w:after="120" w:line="240" w:lineRule="auto"/>
        <w:ind w:left="0" w:firstLine="709"/>
        <w:jc w:val="both"/>
        <w:rPr>
          <w:b/>
          <w:sz w:val="24"/>
          <w:szCs w:val="24"/>
        </w:rPr>
      </w:pPr>
      <m:oMathPara>
        <m:oMath>
          <m:r>
            <m:rPr>
              <m:sty m:val="bi"/>
            </m:rPr>
            <w:rPr>
              <w:rFonts w:ascii="Cambria Math" w:hAnsi="Cambria Math"/>
              <w:sz w:val="24"/>
              <w:szCs w:val="24"/>
            </w:rPr>
            <m:t xml:space="preserve"> Вільний ліміт = Єдиний ліміт-Заблокований ліміт</m:t>
          </m:r>
        </m:oMath>
      </m:oMathPara>
    </w:p>
    <w:p w14:paraId="59D739D9" w14:textId="77777777" w:rsidR="00357E07" w:rsidRPr="004F028F" w:rsidRDefault="00357E07" w:rsidP="000A39DA">
      <w:pPr>
        <w:pStyle w:val="a5"/>
        <w:tabs>
          <w:tab w:val="left" w:pos="993"/>
        </w:tabs>
        <w:spacing w:after="120" w:line="240" w:lineRule="auto"/>
        <w:ind w:left="0" w:firstLine="709"/>
        <w:jc w:val="both"/>
        <w:rPr>
          <w:b/>
        </w:rPr>
      </w:pPr>
    </w:p>
    <w:p w14:paraId="6FFBEB7A" w14:textId="0B1A8749" w:rsidR="00313205" w:rsidRPr="009D6E4C" w:rsidRDefault="00EC3D27"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8B7C11">
        <w:rPr>
          <w:rFonts w:ascii="Times New Roman" w:hAnsi="Times New Roman"/>
          <w:sz w:val="24"/>
          <w:szCs w:val="24"/>
        </w:rPr>
        <w:t>5.4.</w:t>
      </w:r>
      <w:r w:rsidR="00D95671" w:rsidRPr="008B7C11">
        <w:rPr>
          <w:rFonts w:ascii="Times New Roman" w:hAnsi="Times New Roman"/>
          <w:sz w:val="24"/>
          <w:szCs w:val="24"/>
        </w:rPr>
        <w:t>6</w:t>
      </w:r>
      <w:r w:rsidRPr="008B7C11">
        <w:rPr>
          <w:rFonts w:ascii="Times New Roman" w:hAnsi="Times New Roman"/>
          <w:sz w:val="24"/>
          <w:szCs w:val="24"/>
        </w:rPr>
        <w:t>.</w:t>
      </w:r>
      <w:r w:rsidR="008944F1" w:rsidRPr="008B7C11">
        <w:rPr>
          <w:rFonts w:ascii="Times New Roman" w:hAnsi="Times New Roman"/>
          <w:sz w:val="24"/>
          <w:szCs w:val="24"/>
        </w:rPr>
        <w:t xml:space="preserve"> В разі акцепту Розрахунковим центром заяв</w:t>
      </w:r>
      <w:r w:rsidR="00F977A1" w:rsidRPr="008B7C11">
        <w:rPr>
          <w:rFonts w:ascii="Times New Roman" w:hAnsi="Times New Roman"/>
          <w:sz w:val="24"/>
          <w:szCs w:val="24"/>
        </w:rPr>
        <w:t>ки</w:t>
      </w:r>
      <w:r w:rsidR="008944F1" w:rsidRPr="008B7C11">
        <w:rPr>
          <w:rFonts w:ascii="Times New Roman" w:hAnsi="Times New Roman"/>
          <w:sz w:val="24"/>
          <w:szCs w:val="24"/>
        </w:rPr>
        <w:t xml:space="preserve"> на укладання договор</w:t>
      </w:r>
      <w:r w:rsidR="00F977A1" w:rsidRPr="008B7C11">
        <w:rPr>
          <w:rFonts w:ascii="Times New Roman" w:hAnsi="Times New Roman"/>
          <w:sz w:val="24"/>
          <w:szCs w:val="24"/>
        </w:rPr>
        <w:t>у</w:t>
      </w:r>
      <w:r w:rsidR="008944F1" w:rsidRPr="009D6E4C">
        <w:rPr>
          <w:rFonts w:ascii="Times New Roman" w:hAnsi="Times New Roman"/>
          <w:sz w:val="24"/>
          <w:szCs w:val="24"/>
        </w:rPr>
        <w:t xml:space="preserve"> РЕПО </w:t>
      </w:r>
      <w:r w:rsidR="00A74122" w:rsidRPr="009D6E4C">
        <w:rPr>
          <w:rFonts w:ascii="Times New Roman" w:hAnsi="Times New Roman"/>
          <w:sz w:val="24"/>
          <w:szCs w:val="24"/>
        </w:rPr>
        <w:t>В</w:t>
      </w:r>
      <w:r w:rsidR="008944F1" w:rsidRPr="009D6E4C">
        <w:rPr>
          <w:rFonts w:ascii="Times New Roman" w:hAnsi="Times New Roman"/>
          <w:sz w:val="24"/>
          <w:szCs w:val="24"/>
        </w:rPr>
        <w:t>ільний ліміт учасник</w:t>
      </w:r>
      <w:r w:rsidR="00313205" w:rsidRPr="009D6E4C">
        <w:rPr>
          <w:rFonts w:ascii="Times New Roman" w:hAnsi="Times New Roman"/>
          <w:sz w:val="24"/>
          <w:szCs w:val="24"/>
        </w:rPr>
        <w:t>ів</w:t>
      </w:r>
      <w:r w:rsidR="008944F1" w:rsidRPr="009D6E4C">
        <w:rPr>
          <w:rFonts w:ascii="Times New Roman" w:hAnsi="Times New Roman"/>
          <w:sz w:val="24"/>
          <w:szCs w:val="24"/>
        </w:rPr>
        <w:t xml:space="preserve"> клірингу зменшується</w:t>
      </w:r>
      <w:r w:rsidR="001E31FC">
        <w:rPr>
          <w:rFonts w:ascii="Times New Roman" w:hAnsi="Times New Roman"/>
          <w:sz w:val="24"/>
          <w:szCs w:val="24"/>
        </w:rPr>
        <w:t xml:space="preserve">, а заблокований ліміт </w:t>
      </w:r>
      <w:r w:rsidR="004D6FF0">
        <w:rPr>
          <w:rFonts w:ascii="Times New Roman" w:hAnsi="Times New Roman"/>
          <w:sz w:val="24"/>
          <w:szCs w:val="24"/>
        </w:rPr>
        <w:t>збільшується</w:t>
      </w:r>
      <w:r w:rsidR="00313205" w:rsidRPr="009D6E4C">
        <w:rPr>
          <w:rFonts w:ascii="Times New Roman" w:hAnsi="Times New Roman"/>
          <w:sz w:val="24"/>
          <w:szCs w:val="24"/>
        </w:rPr>
        <w:t>:</w:t>
      </w:r>
    </w:p>
    <w:p w14:paraId="4AE5EBD9" w14:textId="5501C1AC" w:rsidR="00313205" w:rsidRPr="004F028F" w:rsidRDefault="00313205" w:rsidP="00313205">
      <w:pPr>
        <w:pStyle w:val="a5"/>
        <w:numPr>
          <w:ilvl w:val="0"/>
          <w:numId w:val="50"/>
        </w:numPr>
        <w:spacing w:after="160" w:line="259" w:lineRule="auto"/>
        <w:jc w:val="both"/>
        <w:rPr>
          <w:rFonts w:ascii="Times New Roman" w:hAnsi="Times New Roman"/>
          <w:sz w:val="24"/>
          <w:szCs w:val="24"/>
        </w:rPr>
      </w:pPr>
      <w:r w:rsidRPr="009D6E4C">
        <w:rPr>
          <w:rFonts w:ascii="Times New Roman" w:hAnsi="Times New Roman"/>
          <w:sz w:val="24"/>
          <w:szCs w:val="24"/>
        </w:rPr>
        <w:t>для к</w:t>
      </w:r>
      <w:r w:rsidRPr="004F028F">
        <w:rPr>
          <w:rFonts w:ascii="Times New Roman" w:hAnsi="Times New Roman"/>
          <w:sz w:val="24"/>
          <w:szCs w:val="24"/>
        </w:rPr>
        <w:t>редитора на суму двох базових частин забезпечення (2 * БЗ);</w:t>
      </w:r>
    </w:p>
    <w:p w14:paraId="16223923" w14:textId="2845292E" w:rsidR="00313205" w:rsidRPr="004F028F" w:rsidRDefault="00313205" w:rsidP="00313205">
      <w:pPr>
        <w:pStyle w:val="a5"/>
        <w:numPr>
          <w:ilvl w:val="0"/>
          <w:numId w:val="50"/>
        </w:numPr>
        <w:spacing w:after="160" w:line="259" w:lineRule="auto"/>
        <w:jc w:val="both"/>
        <w:rPr>
          <w:rFonts w:ascii="Times New Roman" w:hAnsi="Times New Roman"/>
          <w:sz w:val="24"/>
          <w:szCs w:val="24"/>
        </w:rPr>
      </w:pPr>
      <w:r w:rsidRPr="004F028F">
        <w:rPr>
          <w:rFonts w:ascii="Times New Roman" w:hAnsi="Times New Roman"/>
          <w:sz w:val="24"/>
          <w:szCs w:val="24"/>
        </w:rPr>
        <w:t>для позичальника на суму базової частини забезпечення (БЗ).</w:t>
      </w:r>
    </w:p>
    <w:p w14:paraId="590CD9D1" w14:textId="59274E23" w:rsidR="008944F1" w:rsidRPr="008B7C11" w:rsidRDefault="008944F1"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4F028F">
        <w:rPr>
          <w:rFonts w:ascii="Times New Roman" w:hAnsi="Times New Roman"/>
          <w:sz w:val="24"/>
          <w:szCs w:val="24"/>
        </w:rPr>
        <w:t xml:space="preserve"> </w:t>
      </w:r>
      <w:r w:rsidR="00313205" w:rsidRPr="004F028F">
        <w:rPr>
          <w:rFonts w:ascii="Times New Roman" w:hAnsi="Times New Roman"/>
          <w:sz w:val="24"/>
          <w:szCs w:val="24"/>
        </w:rPr>
        <w:t>Базова частина</w:t>
      </w:r>
      <w:r w:rsidR="00F17000" w:rsidRPr="004F028F">
        <w:rPr>
          <w:rFonts w:ascii="Times New Roman" w:hAnsi="Times New Roman"/>
          <w:sz w:val="24"/>
          <w:szCs w:val="24"/>
        </w:rPr>
        <w:t xml:space="preserve"> </w:t>
      </w:r>
      <w:r w:rsidR="00F977A1" w:rsidRPr="004F028F">
        <w:rPr>
          <w:rFonts w:ascii="Times New Roman" w:hAnsi="Times New Roman"/>
          <w:sz w:val="24"/>
          <w:szCs w:val="24"/>
        </w:rPr>
        <w:t>забезпечення (</w:t>
      </w:r>
      <w:r w:rsidR="00313205" w:rsidRPr="004F028F">
        <w:rPr>
          <w:rFonts w:ascii="Times New Roman" w:hAnsi="Times New Roman"/>
          <w:sz w:val="24"/>
          <w:szCs w:val="24"/>
        </w:rPr>
        <w:t>Б</w:t>
      </w:r>
      <w:r w:rsidR="00F977A1" w:rsidRPr="004F028F">
        <w:rPr>
          <w:rFonts w:ascii="Times New Roman" w:hAnsi="Times New Roman"/>
          <w:sz w:val="24"/>
          <w:szCs w:val="24"/>
        </w:rPr>
        <w:t xml:space="preserve">З) </w:t>
      </w:r>
      <w:r w:rsidRPr="008B7C11">
        <w:rPr>
          <w:rFonts w:ascii="Times New Roman" w:hAnsi="Times New Roman"/>
          <w:sz w:val="24"/>
          <w:szCs w:val="24"/>
        </w:rPr>
        <w:t>розраховується наступним чином:</w:t>
      </w:r>
    </w:p>
    <w:p w14:paraId="5FB89DF9" w14:textId="3D241B1B" w:rsidR="00E47085" w:rsidRPr="00723A02" w:rsidRDefault="00E47085" w:rsidP="00E47085">
      <w:pPr>
        <w:pStyle w:val="a5"/>
        <w:ind w:firstLine="567"/>
        <w:jc w:val="center"/>
        <w:rPr>
          <w:rFonts w:ascii="Times New Roman" w:hAnsi="Times New Roman"/>
          <w:sz w:val="24"/>
          <w:szCs w:val="24"/>
        </w:rPr>
      </w:pPr>
    </w:p>
    <w:p w14:paraId="31958C51" w14:textId="7584D24E" w:rsidR="00E47085" w:rsidRPr="00313205" w:rsidRDefault="00313205" w:rsidP="00E47085">
      <w:pPr>
        <w:pStyle w:val="a5"/>
        <w:ind w:firstLine="567"/>
        <w:jc w:val="center"/>
        <w:rPr>
          <w:rFonts w:ascii="Times New Roman" w:hAnsi="Times New Roman"/>
          <w:b/>
          <w:sz w:val="24"/>
          <w:szCs w:val="24"/>
        </w:rPr>
      </w:pPr>
      <w:r w:rsidRPr="00313205">
        <w:rPr>
          <w:rFonts w:ascii="Times New Roman" w:hAnsi="Times New Roman"/>
          <w:b/>
          <w:sz w:val="24"/>
          <w:szCs w:val="24"/>
        </w:rPr>
        <w:t xml:space="preserve"> БЗ = С1</w:t>
      </w:r>
      <w:r w:rsidR="00E47085" w:rsidRPr="00313205">
        <w:rPr>
          <w:rFonts w:ascii="Times New Roman" w:hAnsi="Times New Roman"/>
          <w:b/>
          <w:sz w:val="24"/>
          <w:szCs w:val="24"/>
        </w:rPr>
        <w:t xml:space="preserve"> * КОЗ</w:t>
      </w:r>
      <w:r w:rsidR="001A4A6F" w:rsidRPr="00F02B9E">
        <w:rPr>
          <w:rFonts w:ascii="Times New Roman" w:hAnsi="Times New Roman"/>
          <w:sz w:val="24"/>
          <w:szCs w:val="24"/>
        </w:rPr>
        <w:t>, де</w:t>
      </w:r>
    </w:p>
    <w:p w14:paraId="1D321E34" w14:textId="77777777" w:rsidR="001A4A6F" w:rsidRDefault="001A4A6F" w:rsidP="00E47085">
      <w:pPr>
        <w:pStyle w:val="a5"/>
        <w:ind w:left="567"/>
        <w:jc w:val="both"/>
        <w:rPr>
          <w:rFonts w:ascii="Times New Roman" w:hAnsi="Times New Roman"/>
          <w:sz w:val="24"/>
          <w:szCs w:val="24"/>
        </w:rPr>
      </w:pPr>
    </w:p>
    <w:p w14:paraId="37531FF8" w14:textId="13C4B7FD" w:rsidR="00BC7AB2" w:rsidRDefault="00E47085" w:rsidP="00E47085">
      <w:pPr>
        <w:pStyle w:val="a5"/>
        <w:ind w:left="567"/>
        <w:jc w:val="both"/>
        <w:rPr>
          <w:rFonts w:ascii="Times New Roman" w:hAnsi="Times New Roman"/>
          <w:sz w:val="24"/>
          <w:szCs w:val="24"/>
        </w:rPr>
      </w:pPr>
      <w:r w:rsidRPr="00313205">
        <w:rPr>
          <w:rFonts w:ascii="Times New Roman" w:hAnsi="Times New Roman"/>
          <w:sz w:val="24"/>
          <w:szCs w:val="24"/>
        </w:rPr>
        <w:t>С</w:t>
      </w:r>
      <w:r w:rsidR="00313205">
        <w:rPr>
          <w:rFonts w:ascii="Times New Roman" w:hAnsi="Times New Roman"/>
          <w:sz w:val="24"/>
          <w:szCs w:val="24"/>
        </w:rPr>
        <w:t>1</w:t>
      </w:r>
      <w:r w:rsidRPr="004F028F">
        <w:rPr>
          <w:rFonts w:ascii="Times New Roman" w:hAnsi="Times New Roman"/>
          <w:sz w:val="24"/>
          <w:szCs w:val="24"/>
        </w:rPr>
        <w:t xml:space="preserve">– сума </w:t>
      </w:r>
      <w:r w:rsidR="00436B98">
        <w:rPr>
          <w:rFonts w:ascii="Times New Roman" w:hAnsi="Times New Roman"/>
          <w:sz w:val="24"/>
          <w:szCs w:val="24"/>
        </w:rPr>
        <w:t>першої</w:t>
      </w:r>
      <w:r w:rsidRPr="004F028F">
        <w:rPr>
          <w:rFonts w:ascii="Times New Roman" w:hAnsi="Times New Roman"/>
          <w:sz w:val="24"/>
          <w:szCs w:val="24"/>
        </w:rPr>
        <w:t xml:space="preserve"> частин</w:t>
      </w:r>
      <w:r w:rsidR="00313205" w:rsidRPr="004F028F">
        <w:rPr>
          <w:rFonts w:ascii="Times New Roman" w:hAnsi="Times New Roman"/>
          <w:sz w:val="24"/>
          <w:szCs w:val="24"/>
        </w:rPr>
        <w:t>и</w:t>
      </w:r>
      <w:r w:rsidRPr="004F028F">
        <w:rPr>
          <w:rFonts w:ascii="Times New Roman" w:hAnsi="Times New Roman"/>
          <w:sz w:val="24"/>
          <w:szCs w:val="24"/>
        </w:rPr>
        <w:t xml:space="preserve"> договору РЕПО</w:t>
      </w:r>
      <w:r w:rsidR="00D16663" w:rsidRPr="004F028F">
        <w:rPr>
          <w:rFonts w:ascii="Times New Roman" w:hAnsi="Times New Roman"/>
          <w:sz w:val="24"/>
          <w:szCs w:val="24"/>
        </w:rPr>
        <w:t xml:space="preserve"> (грн.)</w:t>
      </w:r>
      <w:r w:rsidRPr="004F028F">
        <w:rPr>
          <w:rFonts w:ascii="Times New Roman" w:hAnsi="Times New Roman"/>
          <w:sz w:val="24"/>
          <w:szCs w:val="24"/>
        </w:rPr>
        <w:t>;</w:t>
      </w:r>
    </w:p>
    <w:p w14:paraId="60121A9E" w14:textId="731B4002" w:rsidR="008944F1" w:rsidRPr="005C35BB" w:rsidRDefault="008944F1" w:rsidP="00E47085">
      <w:pPr>
        <w:pStyle w:val="a5"/>
        <w:ind w:left="567"/>
        <w:jc w:val="both"/>
        <w:rPr>
          <w:rFonts w:ascii="Times New Roman" w:hAnsi="Times New Roman"/>
          <w:sz w:val="24"/>
          <w:szCs w:val="24"/>
        </w:rPr>
      </w:pPr>
      <w:r w:rsidRPr="008B7C11">
        <w:rPr>
          <w:rFonts w:ascii="Times New Roman" w:hAnsi="Times New Roman"/>
          <w:sz w:val="24"/>
          <w:szCs w:val="24"/>
        </w:rPr>
        <w:t>КОЗ – коефіцієнт обліку зобов</w:t>
      </w:r>
      <w:r w:rsidR="005F41FA" w:rsidRPr="008B7C11">
        <w:rPr>
          <w:rFonts w:ascii="Times New Roman" w:hAnsi="Times New Roman"/>
          <w:sz w:val="24"/>
          <w:szCs w:val="24"/>
        </w:rPr>
        <w:t>’</w:t>
      </w:r>
      <w:r w:rsidRPr="008B7C11">
        <w:rPr>
          <w:rFonts w:ascii="Times New Roman" w:hAnsi="Times New Roman"/>
          <w:sz w:val="24"/>
          <w:szCs w:val="24"/>
        </w:rPr>
        <w:t xml:space="preserve">язань, що встановлений Регламентом </w:t>
      </w:r>
      <w:r w:rsidR="000E1F46" w:rsidRPr="008B7C11">
        <w:rPr>
          <w:rFonts w:ascii="Times New Roman" w:hAnsi="Times New Roman"/>
          <w:sz w:val="24"/>
          <w:szCs w:val="24"/>
        </w:rPr>
        <w:t xml:space="preserve">провадження </w:t>
      </w:r>
      <w:r w:rsidRPr="005C35BB">
        <w:rPr>
          <w:rFonts w:ascii="Times New Roman" w:hAnsi="Times New Roman"/>
          <w:sz w:val="24"/>
          <w:szCs w:val="24"/>
        </w:rPr>
        <w:t>клірингової діяльності.</w:t>
      </w:r>
    </w:p>
    <w:p w14:paraId="777372ED" w14:textId="7A374E58" w:rsidR="009D6E4C" w:rsidRPr="006E7C2F" w:rsidRDefault="009D6E4C" w:rsidP="009D6E4C">
      <w:pPr>
        <w:ind w:firstLine="567"/>
        <w:jc w:val="both"/>
        <w:rPr>
          <w:rFonts w:ascii="Times New Roman" w:hAnsi="Times New Roman"/>
          <w:sz w:val="24"/>
          <w:szCs w:val="24"/>
        </w:rPr>
      </w:pPr>
      <w:r w:rsidRPr="006E7C2F">
        <w:rPr>
          <w:rFonts w:ascii="Times New Roman" w:hAnsi="Times New Roman"/>
          <w:sz w:val="24"/>
          <w:szCs w:val="24"/>
        </w:rPr>
        <w:t>Після проведення розрахунк</w:t>
      </w:r>
      <w:r w:rsidRPr="005C35BB">
        <w:rPr>
          <w:rFonts w:ascii="Times New Roman" w:hAnsi="Times New Roman"/>
          <w:sz w:val="24"/>
          <w:szCs w:val="24"/>
        </w:rPr>
        <w:t>і</w:t>
      </w:r>
      <w:r w:rsidRPr="006E7C2F">
        <w:rPr>
          <w:rFonts w:ascii="Times New Roman" w:hAnsi="Times New Roman"/>
          <w:sz w:val="24"/>
          <w:szCs w:val="24"/>
        </w:rPr>
        <w:t xml:space="preserve">в за </w:t>
      </w:r>
      <w:r w:rsidR="0033053E">
        <w:rPr>
          <w:rFonts w:ascii="Times New Roman" w:hAnsi="Times New Roman"/>
          <w:sz w:val="24"/>
          <w:szCs w:val="24"/>
        </w:rPr>
        <w:t>першо</w:t>
      </w:r>
      <w:r w:rsidRPr="006E7C2F">
        <w:rPr>
          <w:rFonts w:ascii="Times New Roman" w:hAnsi="Times New Roman"/>
          <w:sz w:val="24"/>
          <w:szCs w:val="24"/>
        </w:rPr>
        <w:t xml:space="preserve">ю частиною договору РЕПО </w:t>
      </w:r>
      <w:r w:rsidR="00723A02" w:rsidRPr="006E7C2F">
        <w:rPr>
          <w:rFonts w:ascii="Times New Roman" w:hAnsi="Times New Roman"/>
          <w:sz w:val="24"/>
          <w:szCs w:val="24"/>
        </w:rPr>
        <w:t>заблокована при укладанні</w:t>
      </w:r>
      <w:r w:rsidRPr="006E7C2F">
        <w:rPr>
          <w:rFonts w:ascii="Times New Roman" w:hAnsi="Times New Roman"/>
          <w:sz w:val="24"/>
          <w:szCs w:val="24"/>
        </w:rPr>
        <w:t xml:space="preserve"> </w:t>
      </w:r>
      <w:r w:rsidR="00723A02" w:rsidRPr="006E7C2F">
        <w:rPr>
          <w:rFonts w:ascii="Times New Roman" w:hAnsi="Times New Roman"/>
          <w:sz w:val="24"/>
          <w:szCs w:val="24"/>
        </w:rPr>
        <w:t xml:space="preserve">договору РЕПО базова </w:t>
      </w:r>
      <w:r w:rsidRPr="006E7C2F">
        <w:rPr>
          <w:rFonts w:ascii="Times New Roman" w:hAnsi="Times New Roman"/>
          <w:sz w:val="24"/>
          <w:szCs w:val="24"/>
        </w:rPr>
        <w:t xml:space="preserve">частина </w:t>
      </w:r>
      <w:r w:rsidR="00395458">
        <w:rPr>
          <w:rFonts w:ascii="Times New Roman" w:hAnsi="Times New Roman"/>
          <w:sz w:val="24"/>
          <w:szCs w:val="24"/>
        </w:rPr>
        <w:t>забезпечення</w:t>
      </w:r>
      <w:r w:rsidRPr="006E7C2F">
        <w:rPr>
          <w:rFonts w:ascii="Times New Roman" w:hAnsi="Times New Roman"/>
          <w:sz w:val="24"/>
          <w:szCs w:val="24"/>
        </w:rPr>
        <w:t xml:space="preserve"> учасника клірингу-позичальника розблоковується.</w:t>
      </w:r>
    </w:p>
    <w:p w14:paraId="3193FC50" w14:textId="1F4558BB" w:rsidR="00EC3D27" w:rsidRPr="005D1193" w:rsidRDefault="008944F1"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5.4.</w:t>
      </w:r>
      <w:r w:rsidR="00D95671" w:rsidRPr="005D1193">
        <w:rPr>
          <w:rFonts w:ascii="Times New Roman" w:hAnsi="Times New Roman"/>
          <w:sz w:val="24"/>
          <w:szCs w:val="24"/>
        </w:rPr>
        <w:t>7</w:t>
      </w:r>
      <w:r w:rsidR="00B062E7" w:rsidRPr="005D1193">
        <w:rPr>
          <w:rFonts w:ascii="Times New Roman" w:hAnsi="Times New Roman"/>
          <w:sz w:val="24"/>
          <w:szCs w:val="24"/>
        </w:rPr>
        <w:t>.</w:t>
      </w:r>
      <w:r w:rsidR="00EC3D27" w:rsidRPr="005D1193">
        <w:rPr>
          <w:rFonts w:ascii="Times New Roman" w:hAnsi="Times New Roman"/>
          <w:sz w:val="24"/>
          <w:szCs w:val="24"/>
        </w:rPr>
        <w:t xml:space="preserve"> З метою визначення достатності </w:t>
      </w:r>
      <w:r w:rsidR="00F43030" w:rsidRPr="005D1193">
        <w:rPr>
          <w:rFonts w:ascii="Times New Roman" w:hAnsi="Times New Roman"/>
          <w:sz w:val="24"/>
          <w:szCs w:val="24"/>
        </w:rPr>
        <w:t xml:space="preserve">гарантійного </w:t>
      </w:r>
      <w:r w:rsidR="00EC3D27" w:rsidRPr="005D1193">
        <w:rPr>
          <w:rFonts w:ascii="Times New Roman" w:hAnsi="Times New Roman"/>
          <w:sz w:val="24"/>
          <w:szCs w:val="24"/>
        </w:rPr>
        <w:t>забезпечення при зміні параметрів системи управління ризиками</w:t>
      </w:r>
      <w:r w:rsidR="00CB41A2" w:rsidRPr="005D1193">
        <w:rPr>
          <w:rFonts w:ascii="Times New Roman" w:hAnsi="Times New Roman"/>
          <w:sz w:val="24"/>
          <w:szCs w:val="24"/>
        </w:rPr>
        <w:t xml:space="preserve"> та переоцінці розміру зобов’язань учасників клірингу</w:t>
      </w:r>
      <w:r w:rsidR="00EC3D27" w:rsidRPr="005D1193">
        <w:rPr>
          <w:rFonts w:ascii="Times New Roman" w:hAnsi="Times New Roman"/>
          <w:sz w:val="24"/>
          <w:szCs w:val="24"/>
        </w:rPr>
        <w:t xml:space="preserve"> Розрахунковий центр кожного </w:t>
      </w:r>
      <w:r w:rsidR="005A2AA3" w:rsidRPr="005D1193">
        <w:rPr>
          <w:rFonts w:ascii="Times New Roman" w:hAnsi="Times New Roman"/>
          <w:sz w:val="24"/>
          <w:szCs w:val="24"/>
        </w:rPr>
        <w:t>операційного</w:t>
      </w:r>
      <w:r w:rsidR="00EC3D27" w:rsidRPr="005D1193">
        <w:rPr>
          <w:rFonts w:ascii="Times New Roman" w:hAnsi="Times New Roman"/>
          <w:sz w:val="24"/>
          <w:szCs w:val="24"/>
        </w:rPr>
        <w:t xml:space="preserve"> дня проводить процедуру Mark-to-market. Процедура проводиться </w:t>
      </w:r>
      <w:r w:rsidR="006A3F2D" w:rsidRPr="005D1193">
        <w:rPr>
          <w:rFonts w:ascii="Times New Roman" w:hAnsi="Times New Roman"/>
          <w:sz w:val="24"/>
          <w:szCs w:val="24"/>
        </w:rPr>
        <w:t xml:space="preserve">до </w:t>
      </w:r>
      <w:r w:rsidRPr="005D1193">
        <w:rPr>
          <w:rFonts w:ascii="Times New Roman" w:hAnsi="Times New Roman"/>
          <w:sz w:val="24"/>
          <w:szCs w:val="24"/>
        </w:rPr>
        <w:t xml:space="preserve">моменту відправлення на фондові біржі файлу з переліком цінних паперів, які допущені до розрахунків в режимі </w:t>
      </w:r>
      <w:r w:rsidR="00F43030" w:rsidRPr="005D1193">
        <w:rPr>
          <w:rFonts w:ascii="Times New Roman" w:hAnsi="Times New Roman"/>
          <w:sz w:val="24"/>
          <w:szCs w:val="24"/>
        </w:rPr>
        <w:t>«</w:t>
      </w:r>
      <w:r w:rsidRPr="005D1193">
        <w:rPr>
          <w:rFonts w:ascii="Times New Roman" w:hAnsi="Times New Roman"/>
          <w:sz w:val="24"/>
          <w:szCs w:val="24"/>
        </w:rPr>
        <w:t>РЕПО з контролем ризиків</w:t>
      </w:r>
      <w:r w:rsidR="00F43030" w:rsidRPr="005D1193">
        <w:rPr>
          <w:rFonts w:ascii="Times New Roman" w:hAnsi="Times New Roman"/>
          <w:sz w:val="24"/>
          <w:szCs w:val="24"/>
        </w:rPr>
        <w:t>»</w:t>
      </w:r>
      <w:r w:rsidRPr="005D1193">
        <w:rPr>
          <w:rFonts w:ascii="Times New Roman" w:hAnsi="Times New Roman"/>
          <w:sz w:val="24"/>
          <w:szCs w:val="24"/>
        </w:rPr>
        <w:t>.</w:t>
      </w:r>
    </w:p>
    <w:p w14:paraId="4269B4EE" w14:textId="29B50A58" w:rsidR="00CB41A2" w:rsidRPr="005D1193" w:rsidRDefault="00647649"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В ході проведення процедури Mark-to-market на підставі визначених для поточного операційного дня </w:t>
      </w:r>
      <w:r w:rsidR="00436B98">
        <w:rPr>
          <w:rFonts w:ascii="Times New Roman" w:hAnsi="Times New Roman"/>
          <w:sz w:val="24"/>
          <w:szCs w:val="24"/>
        </w:rPr>
        <w:t xml:space="preserve">офіційних </w:t>
      </w:r>
      <w:r w:rsidRPr="005D1193">
        <w:rPr>
          <w:rFonts w:ascii="Times New Roman" w:hAnsi="Times New Roman"/>
          <w:sz w:val="24"/>
          <w:szCs w:val="24"/>
        </w:rPr>
        <w:t>курсів валют, ринкової вартості цінних паперів, коригуючих коефіцієнтів та додаткових коригуючих коефіцієнтів для кожного учасника клірингу визначається нове значення Єдиного ліміту.</w:t>
      </w:r>
    </w:p>
    <w:p w14:paraId="711B719D" w14:textId="7160B409" w:rsidR="00A35B8C" w:rsidRDefault="00647649" w:rsidP="008B7C11">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 xml:space="preserve">В ході проведення процедури Mark-to-market </w:t>
      </w:r>
      <w:r w:rsidR="001A4A6F">
        <w:rPr>
          <w:rFonts w:ascii="Times New Roman" w:hAnsi="Times New Roman"/>
          <w:sz w:val="24"/>
          <w:szCs w:val="24"/>
        </w:rPr>
        <w:t xml:space="preserve">та в разі </w:t>
      </w:r>
      <w:r w:rsidR="00F02B9E">
        <w:rPr>
          <w:rFonts w:ascii="Times New Roman" w:hAnsi="Times New Roman"/>
          <w:sz w:val="24"/>
          <w:szCs w:val="24"/>
        </w:rPr>
        <w:t xml:space="preserve">зміни умов другої частини  договору РЕПО </w:t>
      </w:r>
      <w:r w:rsidRPr="005D1193">
        <w:rPr>
          <w:rFonts w:ascii="Times New Roman" w:hAnsi="Times New Roman"/>
          <w:sz w:val="24"/>
          <w:szCs w:val="24"/>
        </w:rPr>
        <w:t xml:space="preserve">виконується переоцінка </w:t>
      </w:r>
      <w:r w:rsidR="00F02B9E">
        <w:rPr>
          <w:rFonts w:ascii="Times New Roman" w:hAnsi="Times New Roman"/>
          <w:sz w:val="24"/>
          <w:szCs w:val="24"/>
        </w:rPr>
        <w:t>зобов’язань</w:t>
      </w:r>
      <w:r w:rsidRPr="005D1193">
        <w:rPr>
          <w:rFonts w:ascii="Times New Roman" w:hAnsi="Times New Roman"/>
          <w:sz w:val="24"/>
          <w:szCs w:val="24"/>
        </w:rPr>
        <w:t xml:space="preserve"> учасника клірингу.</w:t>
      </w:r>
      <w:r w:rsidR="00982C14" w:rsidRPr="005D1193">
        <w:rPr>
          <w:rFonts w:ascii="Times New Roman" w:hAnsi="Times New Roman"/>
          <w:sz w:val="24"/>
          <w:szCs w:val="24"/>
        </w:rPr>
        <w:t xml:space="preserve"> </w:t>
      </w:r>
      <w:r w:rsidR="00D16663">
        <w:rPr>
          <w:rFonts w:ascii="Times New Roman" w:hAnsi="Times New Roman"/>
          <w:sz w:val="24"/>
          <w:szCs w:val="24"/>
        </w:rPr>
        <w:t>Розмір забезпечення учасника клірингу, ризик невиконання зобовʼязан</w:t>
      </w:r>
      <w:r w:rsidR="00F02B9E">
        <w:rPr>
          <w:rFonts w:ascii="Times New Roman" w:hAnsi="Times New Roman"/>
          <w:sz w:val="24"/>
          <w:szCs w:val="24"/>
        </w:rPr>
        <w:t>ня</w:t>
      </w:r>
      <w:r w:rsidR="00D16663">
        <w:rPr>
          <w:rFonts w:ascii="Times New Roman" w:hAnsi="Times New Roman"/>
          <w:sz w:val="24"/>
          <w:szCs w:val="24"/>
        </w:rPr>
        <w:t xml:space="preserve"> </w:t>
      </w:r>
      <w:r w:rsidR="00687792">
        <w:rPr>
          <w:rFonts w:ascii="Times New Roman" w:hAnsi="Times New Roman"/>
          <w:sz w:val="24"/>
          <w:szCs w:val="24"/>
        </w:rPr>
        <w:t xml:space="preserve">за </w:t>
      </w:r>
      <w:r w:rsidR="00D16663">
        <w:rPr>
          <w:rFonts w:ascii="Times New Roman" w:hAnsi="Times New Roman"/>
          <w:sz w:val="24"/>
          <w:szCs w:val="24"/>
        </w:rPr>
        <w:t xml:space="preserve">яким внаслідок зміни </w:t>
      </w:r>
      <w:r w:rsidR="001A4A6F">
        <w:rPr>
          <w:rFonts w:ascii="Times New Roman" w:hAnsi="Times New Roman"/>
          <w:sz w:val="24"/>
          <w:szCs w:val="24"/>
        </w:rPr>
        <w:t>ринкової</w:t>
      </w:r>
      <w:r w:rsidR="00D16663">
        <w:rPr>
          <w:rFonts w:ascii="Times New Roman" w:hAnsi="Times New Roman"/>
          <w:sz w:val="24"/>
          <w:szCs w:val="24"/>
        </w:rPr>
        <w:t xml:space="preserve"> вартості цінних паперів, що є предметом договору РЕПО, зростає, </w:t>
      </w:r>
      <w:r w:rsidR="005B6C8C">
        <w:rPr>
          <w:rFonts w:ascii="Times New Roman" w:hAnsi="Times New Roman"/>
          <w:sz w:val="24"/>
          <w:szCs w:val="24"/>
        </w:rPr>
        <w:t>збільшується на розмір додатково</w:t>
      </w:r>
      <w:r w:rsidR="00E17866">
        <w:rPr>
          <w:rFonts w:ascii="Times New Roman" w:hAnsi="Times New Roman"/>
          <w:sz w:val="24"/>
          <w:szCs w:val="24"/>
        </w:rPr>
        <w:t>ї частини</w:t>
      </w:r>
      <w:r w:rsidR="005B6C8C">
        <w:rPr>
          <w:rFonts w:ascii="Times New Roman" w:hAnsi="Times New Roman"/>
          <w:sz w:val="24"/>
          <w:szCs w:val="24"/>
        </w:rPr>
        <w:t xml:space="preserve"> забезпечення (ДЗ).</w:t>
      </w:r>
    </w:p>
    <w:p w14:paraId="0F466E20" w14:textId="4C2AF87C" w:rsidR="008B7C11" w:rsidRPr="009D6E4C" w:rsidRDefault="008B7C11" w:rsidP="008B7C11">
      <w:pPr>
        <w:tabs>
          <w:tab w:val="left" w:pos="993"/>
        </w:tabs>
        <w:spacing w:after="120" w:line="240" w:lineRule="auto"/>
        <w:ind w:firstLine="709"/>
        <w:jc w:val="both"/>
        <w:rPr>
          <w:rFonts w:ascii="Times New Roman" w:hAnsi="Times New Roman"/>
          <w:sz w:val="24"/>
          <w:szCs w:val="24"/>
        </w:rPr>
      </w:pPr>
      <w:r w:rsidRPr="009D6E4C">
        <w:rPr>
          <w:rFonts w:ascii="Times New Roman" w:hAnsi="Times New Roman"/>
          <w:sz w:val="24"/>
          <w:szCs w:val="24"/>
        </w:rPr>
        <w:t>Розрахунок додатково</w:t>
      </w:r>
      <w:r w:rsidR="00E17866">
        <w:rPr>
          <w:rFonts w:ascii="Times New Roman" w:hAnsi="Times New Roman"/>
          <w:sz w:val="24"/>
          <w:szCs w:val="24"/>
        </w:rPr>
        <w:t>ї</w:t>
      </w:r>
      <w:r w:rsidRPr="009D6E4C">
        <w:rPr>
          <w:rFonts w:ascii="Times New Roman" w:hAnsi="Times New Roman"/>
          <w:sz w:val="24"/>
          <w:szCs w:val="24"/>
        </w:rPr>
        <w:t xml:space="preserve"> </w:t>
      </w:r>
      <w:r w:rsidR="00E17866">
        <w:rPr>
          <w:rFonts w:ascii="Times New Roman" w:hAnsi="Times New Roman"/>
          <w:sz w:val="24"/>
          <w:szCs w:val="24"/>
        </w:rPr>
        <w:t xml:space="preserve">частини </w:t>
      </w:r>
      <w:r w:rsidRPr="009D6E4C">
        <w:rPr>
          <w:rFonts w:ascii="Times New Roman" w:hAnsi="Times New Roman"/>
          <w:sz w:val="24"/>
          <w:szCs w:val="24"/>
        </w:rPr>
        <w:t xml:space="preserve">забезпечення (ДЗ) за </w:t>
      </w:r>
      <w:r w:rsidR="00A35B8C">
        <w:rPr>
          <w:rFonts w:ascii="Times New Roman" w:hAnsi="Times New Roman"/>
          <w:sz w:val="24"/>
          <w:szCs w:val="24"/>
        </w:rPr>
        <w:t xml:space="preserve">кожним </w:t>
      </w:r>
      <w:r w:rsidRPr="009D6E4C">
        <w:rPr>
          <w:rFonts w:ascii="Times New Roman" w:hAnsi="Times New Roman"/>
          <w:sz w:val="24"/>
          <w:szCs w:val="24"/>
        </w:rPr>
        <w:t>зобов’язанням учасника клірингу здійснюється наступним чином:</w:t>
      </w:r>
    </w:p>
    <w:p w14:paraId="1BFB824A" w14:textId="0E95A603" w:rsidR="008B7C11" w:rsidRPr="009D6E4C" w:rsidRDefault="008B7C11" w:rsidP="008B7C11">
      <w:pPr>
        <w:ind w:left="-567" w:hanging="284"/>
        <w:jc w:val="both"/>
        <w:rPr>
          <w:rFonts w:ascii="Times New Roman" w:hAnsi="Times New Roman"/>
          <w:sz w:val="24"/>
          <w:szCs w:val="24"/>
        </w:rPr>
      </w:pPr>
      <m:oMathPara>
        <m:oMathParaPr>
          <m:jc m:val="center"/>
        </m:oMathParaPr>
        <m:oMath>
          <m:r>
            <m:rPr>
              <m:sty m:val="p"/>
            </m:rPr>
            <w:rPr>
              <w:rFonts w:ascii="Cambria Math" w:hAnsi="Cambria Math"/>
              <w:sz w:val="24"/>
              <w:szCs w:val="24"/>
            </w:rPr>
            <m:t>ДЗ= К*</m:t>
          </m:r>
          <m:d>
            <m:dPr>
              <m:ctrlPr>
                <w:rPr>
                  <w:rFonts w:ascii="Cambria Math" w:hAnsi="Cambria Math"/>
                  <w:sz w:val="24"/>
                  <w:szCs w:val="24"/>
                </w:rPr>
              </m:ctrlPr>
            </m:dPr>
            <m:e>
              <m:r>
                <m:rPr>
                  <m:sty m:val="p"/>
                </m:rPr>
                <w:rPr>
                  <w:rFonts w:ascii="Cambria Math" w:hAnsi="Cambria Math"/>
                  <w:sz w:val="24"/>
                  <w:szCs w:val="24"/>
                </w:rPr>
                <m:t>РВ</m:t>
              </m:r>
              <m:r>
                <w:rPr>
                  <w:rFonts w:ascii="Cambria Math" w:hAnsi="Cambria Math"/>
                  <w:sz w:val="24"/>
                  <w:szCs w:val="24"/>
                </w:rPr>
                <m:t>m</m:t>
              </m:r>
              <m:r>
                <m:rPr>
                  <m:sty m:val="p"/>
                </m:rPr>
                <w:rPr>
                  <w:rFonts w:ascii="Cambria Math" w:hAnsi="Cambria Math"/>
                  <w:sz w:val="24"/>
                  <w:szCs w:val="24"/>
                </w:rPr>
                <m:t>-РВо</m:t>
              </m:r>
            </m:e>
          </m:d>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1-Д</m:t>
              </m:r>
            </m:e>
          </m:d>
          <m:r>
            <m:rPr>
              <m:sty m:val="p"/>
            </m:rPr>
            <w:rPr>
              <w:rFonts w:ascii="Cambria Math" w:hAnsi="Cambria Math"/>
              <w:sz w:val="24"/>
              <w:szCs w:val="24"/>
            </w:rPr>
            <m:t>*К*РВо*</m:t>
          </m:r>
          <m:d>
            <m:dPr>
              <m:ctrlPr>
                <w:rPr>
                  <w:rFonts w:ascii="Cambria Math" w:hAnsi="Cambria Math"/>
                  <w:sz w:val="24"/>
                  <w:szCs w:val="24"/>
                </w:rPr>
              </m:ctrlPr>
            </m:dPr>
            <m:e>
              <m:r>
                <m:rPr>
                  <m:sty m:val="p"/>
                </m:rPr>
                <w:rPr>
                  <w:rFonts w:ascii="Cambria Math" w:hAnsi="Cambria Math"/>
                  <w:sz w:val="24"/>
                  <w:szCs w:val="24"/>
                </w:rPr>
                <m:t>СР*</m:t>
              </m:r>
              <m:f>
                <m:fPr>
                  <m:ctrlPr>
                    <w:rPr>
                      <w:rFonts w:ascii="Cambria Math" w:hAnsi="Cambria Math"/>
                      <w:sz w:val="24"/>
                      <w:szCs w:val="24"/>
                    </w:rPr>
                  </m:ctrlPr>
                </m:fPr>
                <m:num>
                  <m:d>
                    <m:dPr>
                      <m:ctrlPr>
                        <w:rPr>
                          <w:rFonts w:ascii="Cambria Math" w:hAnsi="Cambria Math"/>
                          <w:i/>
                          <w:sz w:val="24"/>
                          <w:szCs w:val="24"/>
                        </w:rPr>
                      </m:ctrlPr>
                    </m:dPr>
                    <m:e>
                      <m:r>
                        <w:rPr>
                          <w:rFonts w:ascii="Cambria Math" w:hAnsi="Cambria Math"/>
                          <w:sz w:val="24"/>
                          <w:szCs w:val="24"/>
                        </w:rPr>
                        <m:t>Тm-To</m:t>
                      </m:r>
                    </m:e>
                  </m:d>
                </m:num>
                <m:den>
                  <m:r>
                    <w:rPr>
                      <w:rFonts w:ascii="Cambria Math" w:hAnsi="Cambria Math"/>
                      <w:sz w:val="24"/>
                      <w:szCs w:val="24"/>
                    </w:rPr>
                    <m:t xml:space="preserve">365 </m:t>
                  </m:r>
                </m:den>
              </m:f>
              <m:ctrlPr>
                <w:rPr>
                  <w:rFonts w:ascii="Cambria Math" w:hAnsi="Cambria Math"/>
                  <w:i/>
                  <w:sz w:val="24"/>
                  <w:szCs w:val="24"/>
                </w:rPr>
              </m:ctrlPr>
            </m:e>
          </m:d>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К*</m:t>
              </m:r>
              <m:r>
                <w:rPr>
                  <w:rFonts w:ascii="Cambria Math" w:hAnsi="Cambria Math"/>
                  <w:sz w:val="24"/>
                  <w:szCs w:val="24"/>
                  <w:lang w:val="ru-RU"/>
                </w:rPr>
                <m:t>КВ</m:t>
              </m:r>
              <m:r>
                <w:rPr>
                  <w:rFonts w:ascii="Cambria Math" w:hAnsi="Cambria Math"/>
                  <w:sz w:val="24"/>
                  <w:szCs w:val="24"/>
                  <w:lang w:val="en-US"/>
                </w:rPr>
                <m:t>i*</m:t>
              </m:r>
              <m:r>
                <w:rPr>
                  <w:rFonts w:ascii="Cambria Math" w:hAnsi="Cambria Math"/>
                  <w:sz w:val="24"/>
                  <w:szCs w:val="24"/>
                </w:rPr>
                <m:t>РКi*</m:t>
              </m:r>
              <m:d>
                <m:dPr>
                  <m:ctrlPr>
                    <w:rPr>
                      <w:rFonts w:ascii="Cambria Math" w:hAnsi="Cambria Math"/>
                      <w:sz w:val="24"/>
                      <w:szCs w:val="24"/>
                    </w:rPr>
                  </m:ctrlPr>
                </m:dPr>
                <m:e>
                  <m:r>
                    <m:rPr>
                      <m:sty m:val="p"/>
                    </m:rPr>
                    <w:rPr>
                      <w:rFonts w:ascii="Cambria Math" w:hAnsi="Cambria Math"/>
                      <w:sz w:val="24"/>
                      <w:szCs w:val="24"/>
                    </w:rPr>
                    <m:t>1+СР*</m:t>
                  </m:r>
                  <m:f>
                    <m:fPr>
                      <m:ctrlPr>
                        <w:rPr>
                          <w:rFonts w:ascii="Cambria Math" w:hAnsi="Cambria Math"/>
                          <w:sz w:val="24"/>
                          <w:szCs w:val="24"/>
                        </w:rPr>
                      </m:ctrlPr>
                    </m:fPr>
                    <m:num>
                      <m:d>
                        <m:dPr>
                          <m:ctrlPr>
                            <w:rPr>
                              <w:rFonts w:ascii="Cambria Math" w:hAnsi="Cambria Math"/>
                              <w:i/>
                              <w:sz w:val="24"/>
                              <w:szCs w:val="24"/>
                            </w:rPr>
                          </m:ctrlPr>
                        </m:dPr>
                        <m:e>
                          <m:r>
                            <w:rPr>
                              <w:rFonts w:ascii="Cambria Math" w:hAnsi="Cambria Math"/>
                              <w:sz w:val="24"/>
                              <w:szCs w:val="24"/>
                            </w:rPr>
                            <m:t>Тm-Tкi</m:t>
                          </m:r>
                        </m:e>
                      </m:d>
                    </m:num>
                    <m:den>
                      <m:r>
                        <w:rPr>
                          <w:rFonts w:ascii="Cambria Math" w:hAnsi="Cambria Math"/>
                          <w:sz w:val="24"/>
                          <w:szCs w:val="24"/>
                        </w:rPr>
                        <m:t xml:space="preserve">365 </m:t>
                      </m:r>
                    </m:den>
                  </m:f>
                  <m:ctrlPr>
                    <w:rPr>
                      <w:rFonts w:ascii="Cambria Math" w:hAnsi="Cambria Math"/>
                      <w:i/>
                      <w:sz w:val="24"/>
                      <w:szCs w:val="24"/>
                    </w:rPr>
                  </m:ctrlPr>
                </m:e>
              </m:d>
            </m:e>
          </m:nary>
        </m:oMath>
      </m:oMathPara>
    </w:p>
    <w:p w14:paraId="1AC2215C" w14:textId="77777777" w:rsidR="008B7C11" w:rsidRPr="009D6E4C" w:rsidRDefault="008B7C11" w:rsidP="008B7C11">
      <w:pPr>
        <w:pStyle w:val="a5"/>
        <w:ind w:left="426" w:hanging="426"/>
        <w:jc w:val="both"/>
        <w:rPr>
          <w:rFonts w:ascii="Times New Roman" w:hAnsi="Times New Roman"/>
          <w:sz w:val="24"/>
          <w:szCs w:val="24"/>
        </w:rPr>
      </w:pPr>
      <w:r w:rsidRPr="009D6E4C">
        <w:rPr>
          <w:rFonts w:ascii="Times New Roman" w:hAnsi="Times New Roman"/>
          <w:sz w:val="24"/>
          <w:szCs w:val="24"/>
        </w:rPr>
        <w:t xml:space="preserve">Де, </w:t>
      </w:r>
    </w:p>
    <w:p w14:paraId="24867D0C" w14:textId="77777777" w:rsidR="008B7C11" w:rsidRPr="009D6E4C"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lastRenderedPageBreak/>
        <w:t>К – кількість цінних паперів в договорі РЕПО;</w:t>
      </w:r>
    </w:p>
    <w:p w14:paraId="5677F8CB" w14:textId="5A6C7E26" w:rsidR="008B7C11"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t>РВm – ринкова вартість цінного папера визначена на дату розрахунку ДЗ;</w:t>
      </w:r>
    </w:p>
    <w:p w14:paraId="53906FDE" w14:textId="122D1AA0" w:rsidR="008B7C11"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t>РВо – ринкова вартість цінного папера визначена на дату укладання;</w:t>
      </w:r>
    </w:p>
    <w:p w14:paraId="6720759B" w14:textId="5E5E9F26" w:rsidR="008B7C11" w:rsidRPr="009D6E4C"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t>Д –</w:t>
      </w:r>
      <w:r w:rsidR="00D5726D">
        <w:rPr>
          <w:rFonts w:ascii="Times New Roman" w:hAnsi="Times New Roman"/>
          <w:sz w:val="24"/>
          <w:szCs w:val="24"/>
        </w:rPr>
        <w:t xml:space="preserve"> </w:t>
      </w:r>
      <w:r w:rsidRPr="009D6E4C">
        <w:rPr>
          <w:rFonts w:ascii="Times New Roman" w:hAnsi="Times New Roman"/>
          <w:sz w:val="24"/>
          <w:szCs w:val="24"/>
        </w:rPr>
        <w:t>дисконт;</w:t>
      </w:r>
    </w:p>
    <w:p w14:paraId="634CB2F8" w14:textId="77777777" w:rsidR="008B7C11" w:rsidRPr="004821BA"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t xml:space="preserve">СР – ставка </w:t>
      </w:r>
      <w:r w:rsidRPr="004821BA">
        <w:rPr>
          <w:rFonts w:ascii="Times New Roman" w:hAnsi="Times New Roman"/>
          <w:sz w:val="24"/>
          <w:szCs w:val="24"/>
        </w:rPr>
        <w:t>договору РЕПО;</w:t>
      </w:r>
      <w:bookmarkStart w:id="0" w:name="_GoBack"/>
      <w:bookmarkEnd w:id="0"/>
    </w:p>
    <w:p w14:paraId="107AB102" w14:textId="77777777" w:rsidR="008B7C11" w:rsidRPr="00B84C86" w:rsidRDefault="008B7C11" w:rsidP="008B7C11">
      <w:pPr>
        <w:pStyle w:val="a5"/>
        <w:ind w:left="567"/>
        <w:jc w:val="both"/>
        <w:rPr>
          <w:rFonts w:ascii="Times New Roman" w:hAnsi="Times New Roman"/>
          <w:sz w:val="24"/>
          <w:szCs w:val="24"/>
        </w:rPr>
      </w:pPr>
      <w:r w:rsidRPr="00B84C86">
        <w:rPr>
          <w:rFonts w:ascii="Times New Roman" w:hAnsi="Times New Roman"/>
          <w:sz w:val="24"/>
          <w:szCs w:val="24"/>
        </w:rPr>
        <w:t>Tm – дата розрахунку розміру ДЗ;</w:t>
      </w:r>
    </w:p>
    <w:p w14:paraId="4DE55631" w14:textId="77777777" w:rsidR="008B7C11" w:rsidRPr="00723A02" w:rsidRDefault="008B7C11" w:rsidP="008B7C11">
      <w:pPr>
        <w:pStyle w:val="a5"/>
        <w:ind w:left="567"/>
        <w:jc w:val="both"/>
        <w:rPr>
          <w:rFonts w:ascii="Times New Roman" w:hAnsi="Times New Roman"/>
          <w:sz w:val="24"/>
          <w:szCs w:val="24"/>
        </w:rPr>
      </w:pPr>
      <w:r w:rsidRPr="00723A02">
        <w:rPr>
          <w:rFonts w:ascii="Times New Roman" w:hAnsi="Times New Roman"/>
          <w:sz w:val="24"/>
          <w:szCs w:val="24"/>
        </w:rPr>
        <w:t>Tki – дата сплати i</w:t>
      </w:r>
      <w:r w:rsidRPr="00723A02">
        <w:rPr>
          <w:rFonts w:ascii="Times New Roman" w:hAnsi="Times New Roman"/>
          <w:sz w:val="24"/>
          <w:szCs w:val="24"/>
          <w:lang w:val="ru-RU"/>
        </w:rPr>
        <w:t>-</w:t>
      </w:r>
      <w:r w:rsidRPr="00723A02">
        <w:rPr>
          <w:rFonts w:ascii="Times New Roman" w:hAnsi="Times New Roman"/>
          <w:sz w:val="24"/>
          <w:szCs w:val="24"/>
        </w:rPr>
        <w:t>го купону;</w:t>
      </w:r>
    </w:p>
    <w:p w14:paraId="7228860A" w14:textId="6DD26558" w:rsidR="008B7C11" w:rsidRPr="004821BA" w:rsidRDefault="008B7C11" w:rsidP="008B7C11">
      <w:pPr>
        <w:pStyle w:val="a5"/>
        <w:ind w:left="567"/>
        <w:jc w:val="both"/>
        <w:rPr>
          <w:rFonts w:ascii="Times New Roman" w:hAnsi="Times New Roman"/>
          <w:sz w:val="24"/>
          <w:szCs w:val="24"/>
        </w:rPr>
      </w:pPr>
      <w:r w:rsidRPr="004821BA">
        <w:rPr>
          <w:rFonts w:ascii="Times New Roman" w:hAnsi="Times New Roman"/>
          <w:sz w:val="24"/>
          <w:szCs w:val="24"/>
        </w:rPr>
        <w:t>То – дата укладання договору РЕПО</w:t>
      </w:r>
      <w:r w:rsidR="00D76C0A">
        <w:rPr>
          <w:rFonts w:ascii="Times New Roman" w:hAnsi="Times New Roman"/>
          <w:sz w:val="24"/>
          <w:szCs w:val="24"/>
        </w:rPr>
        <w:t>;</w:t>
      </w:r>
    </w:p>
    <w:p w14:paraId="17AB3196" w14:textId="57CFD97A" w:rsidR="008B7C11" w:rsidRDefault="008B7C11" w:rsidP="008B7C11">
      <w:pPr>
        <w:pStyle w:val="a5"/>
        <w:ind w:left="567"/>
        <w:jc w:val="both"/>
        <w:rPr>
          <w:rFonts w:ascii="Times New Roman" w:hAnsi="Times New Roman"/>
          <w:sz w:val="24"/>
          <w:szCs w:val="24"/>
        </w:rPr>
      </w:pPr>
      <w:r w:rsidRPr="004821BA">
        <w:rPr>
          <w:rFonts w:ascii="Times New Roman" w:hAnsi="Times New Roman"/>
          <w:sz w:val="24"/>
          <w:szCs w:val="24"/>
        </w:rPr>
        <w:t xml:space="preserve">РКi  </w:t>
      </w:r>
      <w:r w:rsidR="00BF51CA">
        <w:rPr>
          <w:rFonts w:ascii="Times New Roman" w:hAnsi="Times New Roman"/>
          <w:sz w:val="24"/>
          <w:szCs w:val="24"/>
          <w:lang w:val="ru-RU"/>
        </w:rPr>
        <w:t xml:space="preserve">– </w:t>
      </w:r>
      <w:r w:rsidRPr="004821BA">
        <w:rPr>
          <w:rFonts w:ascii="Times New Roman" w:hAnsi="Times New Roman"/>
          <w:sz w:val="24"/>
          <w:szCs w:val="24"/>
        </w:rPr>
        <w:t>розмір сплаченого i</w:t>
      </w:r>
      <w:r w:rsidRPr="004821BA">
        <w:rPr>
          <w:rFonts w:ascii="Times New Roman" w:hAnsi="Times New Roman"/>
          <w:sz w:val="24"/>
          <w:szCs w:val="24"/>
          <w:lang w:val="ru-RU"/>
        </w:rPr>
        <w:t xml:space="preserve">-го </w:t>
      </w:r>
      <w:r w:rsidRPr="004821BA">
        <w:rPr>
          <w:rFonts w:ascii="Times New Roman" w:hAnsi="Times New Roman"/>
          <w:sz w:val="24"/>
          <w:szCs w:val="24"/>
        </w:rPr>
        <w:t>купону, якщо купон не був сплачений, то РК</w:t>
      </w:r>
      <w:r w:rsidR="00CD1426" w:rsidRPr="004821BA">
        <w:rPr>
          <w:rFonts w:ascii="Times New Roman" w:hAnsi="Times New Roman"/>
          <w:sz w:val="24"/>
          <w:szCs w:val="24"/>
        </w:rPr>
        <w:t xml:space="preserve">i </w:t>
      </w:r>
      <w:r w:rsidRPr="004821BA">
        <w:rPr>
          <w:rFonts w:ascii="Times New Roman" w:hAnsi="Times New Roman"/>
          <w:sz w:val="24"/>
          <w:szCs w:val="24"/>
        </w:rPr>
        <w:t>=0;</w:t>
      </w:r>
    </w:p>
    <w:p w14:paraId="485D55CD" w14:textId="1CBF13A9" w:rsidR="00D76C0A" w:rsidRPr="004821BA" w:rsidRDefault="00D76C0A" w:rsidP="008B7C11">
      <w:pPr>
        <w:pStyle w:val="a5"/>
        <w:ind w:left="567"/>
        <w:jc w:val="both"/>
        <w:rPr>
          <w:rFonts w:ascii="Times New Roman" w:hAnsi="Times New Roman"/>
          <w:sz w:val="24"/>
          <w:szCs w:val="24"/>
        </w:rPr>
      </w:pPr>
      <w:r>
        <w:rPr>
          <w:rFonts w:ascii="Times New Roman" w:hAnsi="Times New Roman"/>
          <w:sz w:val="24"/>
          <w:szCs w:val="24"/>
          <w:lang w:val="ru-RU"/>
        </w:rPr>
        <w:t>КВ</w:t>
      </w:r>
      <w:proofErr w:type="spellStart"/>
      <w:proofErr w:type="gramStart"/>
      <w:r w:rsidR="00D25761">
        <w:rPr>
          <w:rFonts w:ascii="Times New Roman" w:hAnsi="Times New Roman"/>
          <w:sz w:val="24"/>
          <w:szCs w:val="24"/>
          <w:lang w:val="en-US"/>
        </w:rPr>
        <w:t>i</w:t>
      </w:r>
      <w:proofErr w:type="spellEnd"/>
      <w:proofErr w:type="gramEnd"/>
      <w:r>
        <w:rPr>
          <w:rFonts w:ascii="Times New Roman" w:hAnsi="Times New Roman"/>
          <w:sz w:val="24"/>
          <w:szCs w:val="24"/>
          <w:lang w:val="ru-RU"/>
        </w:rPr>
        <w:t xml:space="preserve"> </w:t>
      </w:r>
      <w:r w:rsidR="00CD1426">
        <w:rPr>
          <w:rFonts w:ascii="Times New Roman" w:hAnsi="Times New Roman"/>
          <w:sz w:val="24"/>
          <w:szCs w:val="24"/>
          <w:lang w:val="ru-RU"/>
        </w:rPr>
        <w:t>–</w:t>
      </w:r>
      <w:r>
        <w:rPr>
          <w:rFonts w:ascii="Times New Roman" w:hAnsi="Times New Roman"/>
          <w:sz w:val="24"/>
          <w:szCs w:val="24"/>
          <w:lang w:val="ru-RU"/>
        </w:rPr>
        <w:t xml:space="preserve"> </w:t>
      </w:r>
      <w:proofErr w:type="spellStart"/>
      <w:r w:rsidR="00CD1426">
        <w:rPr>
          <w:rFonts w:ascii="Times New Roman" w:hAnsi="Times New Roman"/>
          <w:sz w:val="24"/>
          <w:szCs w:val="24"/>
          <w:lang w:val="ru-RU"/>
        </w:rPr>
        <w:t>офіційний</w:t>
      </w:r>
      <w:proofErr w:type="spellEnd"/>
      <w:r w:rsidR="00CD1426">
        <w:rPr>
          <w:rFonts w:ascii="Times New Roman" w:hAnsi="Times New Roman"/>
          <w:sz w:val="24"/>
          <w:szCs w:val="24"/>
          <w:lang w:val="ru-RU"/>
        </w:rPr>
        <w:t xml:space="preserve"> </w:t>
      </w:r>
      <w:r>
        <w:rPr>
          <w:rFonts w:ascii="Times New Roman" w:hAnsi="Times New Roman"/>
          <w:sz w:val="24"/>
          <w:szCs w:val="24"/>
        </w:rPr>
        <w:t xml:space="preserve">курс валюти номіналу </w:t>
      </w:r>
      <w:r w:rsidR="006E7C2F">
        <w:rPr>
          <w:rFonts w:ascii="Times New Roman" w:hAnsi="Times New Roman"/>
          <w:sz w:val="24"/>
          <w:szCs w:val="24"/>
        </w:rPr>
        <w:t xml:space="preserve">цінного паперу </w:t>
      </w:r>
      <w:r w:rsidRPr="009D6E4C">
        <w:rPr>
          <w:rFonts w:ascii="Times New Roman" w:hAnsi="Times New Roman"/>
          <w:sz w:val="24"/>
          <w:szCs w:val="24"/>
        </w:rPr>
        <w:t xml:space="preserve">на дату </w:t>
      </w:r>
      <w:r>
        <w:rPr>
          <w:rFonts w:ascii="Times New Roman" w:hAnsi="Times New Roman"/>
          <w:sz w:val="24"/>
          <w:szCs w:val="24"/>
        </w:rPr>
        <w:t xml:space="preserve">сплати </w:t>
      </w:r>
      <w:r w:rsidRPr="004821BA">
        <w:rPr>
          <w:rFonts w:ascii="Times New Roman" w:hAnsi="Times New Roman"/>
          <w:sz w:val="24"/>
          <w:szCs w:val="24"/>
        </w:rPr>
        <w:t>i</w:t>
      </w:r>
      <w:r w:rsidRPr="004821BA">
        <w:rPr>
          <w:rFonts w:ascii="Times New Roman" w:hAnsi="Times New Roman"/>
          <w:sz w:val="24"/>
          <w:szCs w:val="24"/>
          <w:lang w:val="ru-RU"/>
        </w:rPr>
        <w:t xml:space="preserve">-го </w:t>
      </w:r>
      <w:r w:rsidRPr="004821BA">
        <w:rPr>
          <w:rFonts w:ascii="Times New Roman" w:hAnsi="Times New Roman"/>
          <w:sz w:val="24"/>
          <w:szCs w:val="24"/>
        </w:rPr>
        <w:t>купону</w:t>
      </w:r>
      <w:r>
        <w:rPr>
          <w:rFonts w:ascii="Times New Roman" w:hAnsi="Times New Roman"/>
          <w:sz w:val="24"/>
          <w:szCs w:val="24"/>
        </w:rPr>
        <w:t>;</w:t>
      </w:r>
    </w:p>
    <w:p w14:paraId="1D99F606" w14:textId="77777777" w:rsidR="008B7C11" w:rsidRPr="004821BA" w:rsidRDefault="008B7C11" w:rsidP="008B7C11">
      <w:pPr>
        <w:pStyle w:val="a5"/>
        <w:ind w:left="567"/>
        <w:jc w:val="both"/>
        <w:rPr>
          <w:rFonts w:ascii="Times New Roman" w:hAnsi="Times New Roman"/>
          <w:sz w:val="24"/>
          <w:szCs w:val="24"/>
        </w:rPr>
      </w:pPr>
      <w:r w:rsidRPr="004821BA">
        <w:rPr>
          <w:rFonts w:ascii="Times New Roman" w:hAnsi="Times New Roman"/>
          <w:sz w:val="24"/>
          <w:szCs w:val="24"/>
        </w:rPr>
        <w:t>n</w:t>
      </w:r>
      <w:r w:rsidRPr="004821BA">
        <w:rPr>
          <w:rFonts w:ascii="Times New Roman" w:hAnsi="Times New Roman"/>
          <w:sz w:val="24"/>
          <w:szCs w:val="24"/>
          <w:lang w:val="ru-RU"/>
        </w:rPr>
        <w:t xml:space="preserve"> – </w:t>
      </w:r>
      <w:r w:rsidRPr="004821BA">
        <w:rPr>
          <w:rFonts w:ascii="Times New Roman" w:hAnsi="Times New Roman"/>
          <w:sz w:val="24"/>
          <w:szCs w:val="24"/>
        </w:rPr>
        <w:t>кількість сплачених купонів.</w:t>
      </w:r>
    </w:p>
    <w:p w14:paraId="29D538C7" w14:textId="4CB1E19B" w:rsidR="00982C14" w:rsidRPr="00B84C86" w:rsidRDefault="009D6E4C" w:rsidP="00687792">
      <w:pPr>
        <w:tabs>
          <w:tab w:val="left" w:pos="993"/>
        </w:tabs>
        <w:spacing w:after="120" w:line="240" w:lineRule="auto"/>
        <w:ind w:firstLine="709"/>
        <w:jc w:val="both"/>
        <w:rPr>
          <w:rFonts w:ascii="Times New Roman" w:hAnsi="Times New Roman"/>
          <w:sz w:val="24"/>
          <w:szCs w:val="24"/>
        </w:rPr>
      </w:pPr>
      <w:r w:rsidRPr="004821BA">
        <w:rPr>
          <w:rFonts w:ascii="Times New Roman" w:hAnsi="Times New Roman"/>
          <w:sz w:val="24"/>
          <w:szCs w:val="24"/>
        </w:rPr>
        <w:t xml:space="preserve">На </w:t>
      </w:r>
      <w:r w:rsidR="007B61BC">
        <w:rPr>
          <w:rFonts w:ascii="Times New Roman" w:hAnsi="Times New Roman"/>
          <w:sz w:val="24"/>
          <w:szCs w:val="24"/>
        </w:rPr>
        <w:t>розмір</w:t>
      </w:r>
      <w:r w:rsidRPr="004821BA">
        <w:rPr>
          <w:rFonts w:ascii="Times New Roman" w:hAnsi="Times New Roman"/>
          <w:sz w:val="24"/>
          <w:szCs w:val="24"/>
        </w:rPr>
        <w:t xml:space="preserve"> </w:t>
      </w:r>
      <w:r w:rsidR="00D5726D">
        <w:rPr>
          <w:rFonts w:ascii="Times New Roman" w:hAnsi="Times New Roman"/>
          <w:sz w:val="24"/>
          <w:szCs w:val="24"/>
        </w:rPr>
        <w:t>додатнього</w:t>
      </w:r>
      <w:r w:rsidRPr="004821BA">
        <w:rPr>
          <w:rFonts w:ascii="Times New Roman" w:hAnsi="Times New Roman"/>
          <w:sz w:val="24"/>
          <w:szCs w:val="24"/>
        </w:rPr>
        <w:t xml:space="preserve"> значення ДЗ збільшується забезпечення </w:t>
      </w:r>
      <w:r w:rsidR="00864FDD" w:rsidRPr="004821BA">
        <w:rPr>
          <w:rFonts w:ascii="Times New Roman" w:hAnsi="Times New Roman"/>
          <w:sz w:val="24"/>
          <w:szCs w:val="24"/>
        </w:rPr>
        <w:t>учасника клірингу</w:t>
      </w:r>
      <w:r w:rsidR="009B68B9">
        <w:rPr>
          <w:rFonts w:ascii="Times New Roman" w:hAnsi="Times New Roman"/>
          <w:sz w:val="24"/>
          <w:szCs w:val="24"/>
        </w:rPr>
        <w:t>-</w:t>
      </w:r>
      <w:r w:rsidR="00723A02">
        <w:rPr>
          <w:rFonts w:ascii="Times New Roman" w:hAnsi="Times New Roman"/>
          <w:sz w:val="24"/>
          <w:szCs w:val="24"/>
        </w:rPr>
        <w:t>кредитора</w:t>
      </w:r>
      <w:r w:rsidR="00982C14" w:rsidRPr="004821BA">
        <w:rPr>
          <w:rFonts w:ascii="Times New Roman" w:hAnsi="Times New Roman"/>
          <w:sz w:val="24"/>
          <w:szCs w:val="24"/>
        </w:rPr>
        <w:t>.</w:t>
      </w:r>
    </w:p>
    <w:p w14:paraId="00F9568F" w14:textId="2BFF768A" w:rsidR="007B61BC" w:rsidRPr="00291154" w:rsidRDefault="009D6E4C" w:rsidP="00687792">
      <w:pPr>
        <w:tabs>
          <w:tab w:val="left" w:pos="993"/>
        </w:tabs>
        <w:spacing w:after="120" w:line="240" w:lineRule="auto"/>
        <w:ind w:firstLine="709"/>
        <w:jc w:val="both"/>
        <w:rPr>
          <w:rFonts w:ascii="Times New Roman" w:hAnsi="Times New Roman"/>
          <w:sz w:val="24"/>
          <w:szCs w:val="24"/>
        </w:rPr>
      </w:pPr>
      <w:r w:rsidRPr="004821BA">
        <w:rPr>
          <w:rFonts w:ascii="Times New Roman" w:hAnsi="Times New Roman"/>
          <w:sz w:val="24"/>
          <w:szCs w:val="24"/>
        </w:rPr>
        <w:t xml:space="preserve">На </w:t>
      </w:r>
      <w:r w:rsidR="007B61BC">
        <w:rPr>
          <w:rFonts w:ascii="Times New Roman" w:hAnsi="Times New Roman"/>
          <w:sz w:val="24"/>
          <w:szCs w:val="24"/>
        </w:rPr>
        <w:t>розмір</w:t>
      </w:r>
      <w:r w:rsidRPr="004821BA">
        <w:rPr>
          <w:rFonts w:ascii="Times New Roman" w:hAnsi="Times New Roman"/>
          <w:sz w:val="24"/>
          <w:szCs w:val="24"/>
        </w:rPr>
        <w:t xml:space="preserve"> </w:t>
      </w:r>
      <w:r w:rsidR="00723A02">
        <w:rPr>
          <w:rFonts w:ascii="Times New Roman" w:hAnsi="Times New Roman"/>
          <w:sz w:val="24"/>
          <w:szCs w:val="24"/>
        </w:rPr>
        <w:t xml:space="preserve">модуля </w:t>
      </w:r>
      <w:r w:rsidR="00D5726D">
        <w:rPr>
          <w:rFonts w:ascii="Times New Roman" w:hAnsi="Times New Roman"/>
          <w:sz w:val="24"/>
          <w:szCs w:val="24"/>
        </w:rPr>
        <w:t>від’єм</w:t>
      </w:r>
      <w:r w:rsidRPr="004821BA">
        <w:rPr>
          <w:rFonts w:ascii="Times New Roman" w:hAnsi="Times New Roman"/>
          <w:sz w:val="24"/>
          <w:szCs w:val="24"/>
        </w:rPr>
        <w:t>ного значення ДЗ зменшується забезпечення учасника клірингу</w:t>
      </w:r>
      <w:r w:rsidR="009B68B9">
        <w:rPr>
          <w:rFonts w:ascii="Times New Roman" w:hAnsi="Times New Roman"/>
          <w:sz w:val="24"/>
          <w:szCs w:val="24"/>
        </w:rPr>
        <w:t>-</w:t>
      </w:r>
      <w:r w:rsidR="00723A02">
        <w:rPr>
          <w:rFonts w:ascii="Times New Roman" w:hAnsi="Times New Roman"/>
          <w:sz w:val="24"/>
          <w:szCs w:val="24"/>
        </w:rPr>
        <w:t>кредитора</w:t>
      </w:r>
      <w:r w:rsidRPr="004821BA">
        <w:rPr>
          <w:rFonts w:ascii="Times New Roman" w:hAnsi="Times New Roman"/>
          <w:sz w:val="24"/>
          <w:szCs w:val="24"/>
        </w:rPr>
        <w:t xml:space="preserve"> та збільшується забезпечення учасника клірингу</w:t>
      </w:r>
      <w:r w:rsidR="009B68B9">
        <w:rPr>
          <w:rFonts w:ascii="Times New Roman" w:hAnsi="Times New Roman"/>
          <w:sz w:val="24"/>
          <w:szCs w:val="24"/>
        </w:rPr>
        <w:t>-позичальника</w:t>
      </w:r>
      <w:r w:rsidR="00982C14" w:rsidRPr="004821BA">
        <w:rPr>
          <w:rFonts w:ascii="Times New Roman" w:hAnsi="Times New Roman"/>
          <w:sz w:val="24"/>
          <w:szCs w:val="24"/>
        </w:rPr>
        <w:t>.</w:t>
      </w:r>
    </w:p>
    <w:p w14:paraId="5832A0F9" w14:textId="714DC95B" w:rsidR="00647649" w:rsidRDefault="00647649" w:rsidP="00687792">
      <w:pPr>
        <w:tabs>
          <w:tab w:val="left" w:pos="993"/>
        </w:tabs>
        <w:spacing w:after="120" w:line="240" w:lineRule="auto"/>
        <w:ind w:firstLine="709"/>
        <w:jc w:val="both"/>
        <w:rPr>
          <w:rFonts w:ascii="Times New Roman" w:hAnsi="Times New Roman"/>
          <w:sz w:val="24"/>
          <w:szCs w:val="24"/>
        </w:rPr>
      </w:pPr>
      <w:r w:rsidRPr="004821BA">
        <w:rPr>
          <w:rFonts w:ascii="Times New Roman" w:hAnsi="Times New Roman"/>
          <w:sz w:val="24"/>
          <w:szCs w:val="24"/>
        </w:rPr>
        <w:t xml:space="preserve">На підставі переоцінки </w:t>
      </w:r>
      <w:r w:rsidR="00726E0C" w:rsidRPr="004821BA">
        <w:rPr>
          <w:rFonts w:ascii="Times New Roman" w:hAnsi="Times New Roman"/>
          <w:sz w:val="24"/>
          <w:szCs w:val="24"/>
        </w:rPr>
        <w:t xml:space="preserve">кожного </w:t>
      </w:r>
      <w:r w:rsidR="00D8770D">
        <w:rPr>
          <w:rFonts w:ascii="Times New Roman" w:hAnsi="Times New Roman"/>
          <w:sz w:val="24"/>
          <w:szCs w:val="24"/>
        </w:rPr>
        <w:t>і</w:t>
      </w:r>
      <w:r w:rsidR="00726E0C" w:rsidRPr="004821BA">
        <w:rPr>
          <w:rFonts w:ascii="Times New Roman" w:hAnsi="Times New Roman"/>
          <w:sz w:val="24"/>
          <w:szCs w:val="24"/>
        </w:rPr>
        <w:t xml:space="preserve">з </w:t>
      </w:r>
      <w:r w:rsidRPr="004821BA">
        <w:rPr>
          <w:rFonts w:ascii="Times New Roman" w:hAnsi="Times New Roman"/>
          <w:sz w:val="24"/>
          <w:szCs w:val="24"/>
        </w:rPr>
        <w:t xml:space="preserve">зобов’язань </w:t>
      </w:r>
      <w:r w:rsidR="00726E0C" w:rsidRPr="004821BA">
        <w:rPr>
          <w:rFonts w:ascii="Times New Roman" w:hAnsi="Times New Roman"/>
          <w:sz w:val="24"/>
          <w:szCs w:val="24"/>
        </w:rPr>
        <w:t>учасників</w:t>
      </w:r>
      <w:r w:rsidRPr="004821BA">
        <w:rPr>
          <w:rFonts w:ascii="Times New Roman" w:hAnsi="Times New Roman"/>
          <w:sz w:val="24"/>
          <w:szCs w:val="24"/>
        </w:rPr>
        <w:t xml:space="preserve"> клірингу</w:t>
      </w:r>
      <w:r w:rsidR="00726E0C" w:rsidRPr="004821BA">
        <w:rPr>
          <w:rFonts w:ascii="Times New Roman" w:hAnsi="Times New Roman"/>
          <w:sz w:val="24"/>
          <w:szCs w:val="24"/>
        </w:rPr>
        <w:t>,</w:t>
      </w:r>
      <w:r w:rsidRPr="004821BA">
        <w:rPr>
          <w:rFonts w:ascii="Times New Roman" w:hAnsi="Times New Roman"/>
          <w:sz w:val="24"/>
          <w:szCs w:val="24"/>
        </w:rPr>
        <w:t xml:space="preserve"> </w:t>
      </w:r>
      <w:r w:rsidR="00726E0C" w:rsidRPr="004821BA">
        <w:rPr>
          <w:rFonts w:ascii="Times New Roman" w:hAnsi="Times New Roman"/>
          <w:sz w:val="24"/>
          <w:szCs w:val="24"/>
        </w:rPr>
        <w:t xml:space="preserve">в разі необхідності внесення додаткового забезпечення, </w:t>
      </w:r>
      <w:r w:rsidRPr="004821BA">
        <w:rPr>
          <w:rFonts w:ascii="Times New Roman" w:hAnsi="Times New Roman"/>
          <w:sz w:val="24"/>
          <w:szCs w:val="24"/>
        </w:rPr>
        <w:t xml:space="preserve">виконується </w:t>
      </w:r>
      <w:r w:rsidR="00726E0C" w:rsidRPr="004821BA">
        <w:rPr>
          <w:rFonts w:ascii="Times New Roman" w:hAnsi="Times New Roman"/>
          <w:sz w:val="24"/>
          <w:szCs w:val="24"/>
        </w:rPr>
        <w:t>перера</w:t>
      </w:r>
      <w:r w:rsidRPr="004821BA">
        <w:rPr>
          <w:rFonts w:ascii="Times New Roman" w:hAnsi="Times New Roman"/>
          <w:sz w:val="24"/>
          <w:szCs w:val="24"/>
        </w:rPr>
        <w:t>хунок</w:t>
      </w:r>
      <w:r w:rsidRPr="005D1193">
        <w:rPr>
          <w:rFonts w:ascii="Times New Roman" w:hAnsi="Times New Roman"/>
          <w:sz w:val="24"/>
          <w:szCs w:val="24"/>
        </w:rPr>
        <w:t xml:space="preserve"> заблокованого</w:t>
      </w:r>
      <w:r w:rsidR="00723A02">
        <w:rPr>
          <w:rFonts w:ascii="Times New Roman" w:hAnsi="Times New Roman"/>
          <w:sz w:val="24"/>
          <w:szCs w:val="24"/>
        </w:rPr>
        <w:t xml:space="preserve"> та вільного </w:t>
      </w:r>
      <w:r w:rsidRPr="005D1193">
        <w:rPr>
          <w:rFonts w:ascii="Times New Roman" w:hAnsi="Times New Roman"/>
          <w:sz w:val="24"/>
          <w:szCs w:val="24"/>
        </w:rPr>
        <w:t>ліміту</w:t>
      </w:r>
      <w:r w:rsidR="00726E0C" w:rsidRPr="005D1193">
        <w:rPr>
          <w:rFonts w:ascii="Times New Roman" w:hAnsi="Times New Roman"/>
          <w:sz w:val="24"/>
          <w:szCs w:val="24"/>
        </w:rPr>
        <w:t xml:space="preserve"> такого учасника клірингу</w:t>
      </w:r>
      <w:r w:rsidRPr="005D1193">
        <w:rPr>
          <w:rFonts w:ascii="Times New Roman" w:hAnsi="Times New Roman"/>
          <w:sz w:val="24"/>
          <w:szCs w:val="24"/>
        </w:rPr>
        <w:t>.</w:t>
      </w:r>
    </w:p>
    <w:p w14:paraId="35DF8F98" w14:textId="21571EB1" w:rsidR="008B7C11" w:rsidRPr="009D6E4C" w:rsidRDefault="00723A02" w:rsidP="00687792">
      <w:pPr>
        <w:tabs>
          <w:tab w:val="left" w:pos="993"/>
        </w:tabs>
        <w:spacing w:after="120" w:line="240" w:lineRule="auto"/>
        <w:ind w:firstLine="709"/>
        <w:jc w:val="both"/>
        <w:rPr>
          <w:rFonts w:ascii="Times New Roman" w:hAnsi="Times New Roman"/>
          <w:sz w:val="24"/>
          <w:szCs w:val="24"/>
        </w:rPr>
      </w:pPr>
      <w:r w:rsidRPr="00723A02">
        <w:rPr>
          <w:rFonts w:ascii="Times New Roman" w:hAnsi="Times New Roman"/>
          <w:sz w:val="24"/>
          <w:szCs w:val="24"/>
        </w:rPr>
        <w:t>Для цілей розрахунку розміру додаткової частини забезпечення здійснюється розрахунок</w:t>
      </w:r>
      <w:r w:rsidR="008B7C11" w:rsidRPr="009D6E4C">
        <w:rPr>
          <w:rFonts w:ascii="Times New Roman" w:hAnsi="Times New Roman"/>
          <w:sz w:val="24"/>
          <w:szCs w:val="24"/>
        </w:rPr>
        <w:t xml:space="preserve"> ставки РЕПО </w:t>
      </w:r>
      <w:r>
        <w:rPr>
          <w:rFonts w:ascii="Times New Roman" w:hAnsi="Times New Roman"/>
          <w:sz w:val="24"/>
          <w:szCs w:val="24"/>
        </w:rPr>
        <w:t>за наступною формулою:</w:t>
      </w:r>
    </w:p>
    <w:p w14:paraId="5C947EA0" w14:textId="77777777" w:rsidR="008B7C11" w:rsidRPr="009D6E4C" w:rsidRDefault="008B7C11" w:rsidP="008B7C11">
      <w:pPr>
        <w:pStyle w:val="a5"/>
        <w:ind w:left="0" w:firstLine="567"/>
        <w:jc w:val="both"/>
        <w:rPr>
          <w:rFonts w:ascii="Times New Roman" w:hAnsi="Times New Roman"/>
          <w:sz w:val="24"/>
          <w:szCs w:val="24"/>
        </w:rPr>
      </w:pPr>
    </w:p>
    <w:p w14:paraId="47CABA1C" w14:textId="55374B14" w:rsidR="008B7C11" w:rsidRPr="009D6E4C" w:rsidRDefault="008B7C11" w:rsidP="008B7C11">
      <w:pPr>
        <w:pStyle w:val="a5"/>
        <w:ind w:left="0" w:firstLine="567"/>
        <w:jc w:val="both"/>
        <w:rPr>
          <w:rFonts w:ascii="Times New Roman" w:eastAsiaTheme="minorEastAsia" w:hAnsi="Times New Roman"/>
          <w:sz w:val="24"/>
          <w:szCs w:val="24"/>
        </w:rPr>
      </w:pPr>
      <m:oMathPara>
        <m:oMath>
          <m:r>
            <m:rPr>
              <m:sty m:val="p"/>
            </m:rPr>
            <w:rPr>
              <w:rFonts w:ascii="Cambria Math" w:hAnsi="Cambria Math"/>
              <w:sz w:val="24"/>
              <w:szCs w:val="24"/>
            </w:rPr>
            <m:t xml:space="preserve">СР= </m:t>
          </m:r>
          <m:f>
            <m:fPr>
              <m:ctrlPr>
                <w:rPr>
                  <w:rFonts w:ascii="Cambria Math" w:hAnsi="Cambria Math"/>
                  <w:sz w:val="24"/>
                  <w:szCs w:val="24"/>
                </w:rPr>
              </m:ctrlPr>
            </m:fPr>
            <m:num>
              <m:r>
                <m:rPr>
                  <m:sty m:val="p"/>
                </m:rPr>
                <w:rPr>
                  <w:rFonts w:ascii="Cambria Math" w:hAnsi="Cambria Math"/>
                  <w:sz w:val="24"/>
                  <w:szCs w:val="24"/>
                </w:rPr>
                <m:t>(С2 - С1)/</m:t>
              </m:r>
              <m:r>
                <m:rPr>
                  <m:sty m:val="p"/>
                </m:rPr>
                <w:rPr>
                  <w:rFonts w:ascii="Cambria Math" w:hAnsi="Cambria Math"/>
                  <w:sz w:val="24"/>
                  <w:szCs w:val="24"/>
                  <w:lang w:val="ru-RU"/>
                </w:rPr>
                <m:t>КВ</m:t>
              </m:r>
              <m:r>
                <m:rPr>
                  <m:sty m:val="p"/>
                </m:rPr>
                <w:rPr>
                  <w:rFonts w:ascii="Cambria Math" w:hAnsi="Cambria Math"/>
                  <w:sz w:val="24"/>
                  <w:szCs w:val="24"/>
                  <w:lang w:val="en-US"/>
                </w:rPr>
                <m:t>o</m:t>
              </m:r>
              <m:r>
                <m:rPr>
                  <m:sty m:val="p"/>
                </m:rPr>
                <w:rPr>
                  <w:rFonts w:ascii="Cambria Math" w:hAnsi="Cambria Math"/>
                  <w:sz w:val="24"/>
                  <w:szCs w:val="24"/>
                </w:rPr>
                <m:t xml:space="preserve"> + </m:t>
              </m:r>
              <m:nary>
                <m:naryPr>
                  <m:chr m:val="∑"/>
                  <m:limLoc m:val="undOvr"/>
                  <m:ctrlPr>
                    <w:rPr>
                      <w:rFonts w:ascii="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r>
                    <m:rPr>
                      <m:sty m:val="p"/>
                    </m:rPr>
                    <w:rPr>
                      <w:rFonts w:ascii="Cambria Math" w:hAnsi="Cambria Math"/>
                      <w:sz w:val="24"/>
                      <w:szCs w:val="24"/>
                    </w:rPr>
                    <m:t>К*РКi</m:t>
                  </m:r>
                </m:e>
              </m:nary>
              <m:r>
                <m:rPr>
                  <m:sty m:val="p"/>
                </m:rPr>
                <w:rPr>
                  <w:rFonts w:ascii="Cambria Math" w:hAnsi="Cambria Math"/>
                  <w:sz w:val="24"/>
                  <w:szCs w:val="24"/>
                </w:rPr>
                <m:t>) * 365</m:t>
              </m:r>
            </m:num>
            <m:den>
              <m:r>
                <w:rPr>
                  <w:rFonts w:ascii="Cambria Math" w:hAnsi="Cambria Math"/>
                  <w:sz w:val="24"/>
                  <w:szCs w:val="24"/>
                </w:rPr>
                <m:t>С1*</m:t>
              </m:r>
              <m:d>
                <m:dPr>
                  <m:ctrlPr>
                    <w:rPr>
                      <w:rFonts w:ascii="Cambria Math" w:hAnsi="Cambria Math"/>
                      <w:i/>
                      <w:sz w:val="24"/>
                      <w:szCs w:val="24"/>
                    </w:rPr>
                  </m:ctrlPr>
                </m:dPr>
                <m:e>
                  <m:r>
                    <w:rPr>
                      <w:rFonts w:ascii="Cambria Math" w:hAnsi="Cambria Math"/>
                      <w:sz w:val="24"/>
                      <w:szCs w:val="24"/>
                    </w:rPr>
                    <m:t>Тs-To</m:t>
                  </m:r>
                </m:e>
              </m:d>
              <m:r>
                <w:rPr>
                  <w:rFonts w:ascii="Cambria Math" w:hAnsi="Cambria Math"/>
                  <w:sz w:val="24"/>
                  <w:szCs w:val="24"/>
                </w:rPr>
                <m:t>/</m:t>
              </m:r>
              <m:r>
                <m:rPr>
                  <m:sty m:val="p"/>
                </m:rPr>
                <w:rPr>
                  <w:rFonts w:ascii="Cambria Math" w:hAnsi="Cambria Math"/>
                  <w:sz w:val="24"/>
                  <w:szCs w:val="24"/>
                  <w:lang w:val="ru-RU"/>
                </w:rPr>
                <m:t>КВ</m:t>
              </m:r>
              <m:r>
                <m:rPr>
                  <m:sty m:val="p"/>
                </m:rPr>
                <w:rPr>
                  <w:rFonts w:ascii="Cambria Math" w:hAnsi="Cambria Math"/>
                  <w:sz w:val="24"/>
                  <w:szCs w:val="24"/>
                  <w:lang w:val="en-US"/>
                </w:rPr>
                <m:t>o</m:t>
              </m:r>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r>
                    <w:rPr>
                      <w:rFonts w:ascii="Cambria Math" w:hAnsi="Cambria Math"/>
                      <w:sz w:val="24"/>
                      <w:szCs w:val="24"/>
                    </w:rPr>
                    <m:t>К*РКi *</m:t>
                  </m:r>
                  <m:d>
                    <m:dPr>
                      <m:ctrlPr>
                        <w:rPr>
                          <w:rFonts w:ascii="Cambria Math" w:hAnsi="Cambria Math"/>
                          <w:i/>
                          <w:sz w:val="24"/>
                          <w:szCs w:val="24"/>
                        </w:rPr>
                      </m:ctrlPr>
                    </m:dPr>
                    <m:e>
                      <m:r>
                        <w:rPr>
                          <w:rFonts w:ascii="Cambria Math" w:hAnsi="Cambria Math"/>
                          <w:sz w:val="24"/>
                          <w:szCs w:val="24"/>
                        </w:rPr>
                        <m:t>Тs-Tкi</m:t>
                      </m:r>
                    </m:e>
                  </m:d>
                </m:e>
              </m:nary>
              <m:r>
                <w:rPr>
                  <w:rFonts w:ascii="Cambria Math" w:hAnsi="Cambria Math"/>
                  <w:sz w:val="24"/>
                  <w:szCs w:val="24"/>
                </w:rPr>
                <m:t xml:space="preserve"> </m:t>
              </m:r>
            </m:den>
          </m:f>
        </m:oMath>
      </m:oMathPara>
    </w:p>
    <w:p w14:paraId="475292EC" w14:textId="77777777" w:rsidR="008B7C11" w:rsidRPr="009D6E4C" w:rsidRDefault="008B7C11" w:rsidP="008B7C11">
      <w:pPr>
        <w:pStyle w:val="a5"/>
        <w:ind w:left="0" w:firstLine="567"/>
        <w:jc w:val="both"/>
        <w:rPr>
          <w:rFonts w:ascii="Times New Roman" w:hAnsi="Times New Roman"/>
          <w:sz w:val="24"/>
          <w:szCs w:val="24"/>
        </w:rPr>
      </w:pPr>
    </w:p>
    <w:p w14:paraId="45DB3DE7" w14:textId="0CBC0D98" w:rsidR="008B7C11" w:rsidRPr="009D6E4C"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t xml:space="preserve">С1 – сума </w:t>
      </w:r>
      <w:r w:rsidR="00CD1426">
        <w:rPr>
          <w:rFonts w:ascii="Times New Roman" w:hAnsi="Times New Roman"/>
          <w:sz w:val="24"/>
          <w:szCs w:val="24"/>
        </w:rPr>
        <w:t>першої</w:t>
      </w:r>
      <w:r w:rsidRPr="009D6E4C">
        <w:rPr>
          <w:rFonts w:ascii="Times New Roman" w:hAnsi="Times New Roman"/>
          <w:sz w:val="24"/>
          <w:szCs w:val="24"/>
        </w:rPr>
        <w:t xml:space="preserve"> частини договору РЕПО;</w:t>
      </w:r>
    </w:p>
    <w:p w14:paraId="06E29C6A" w14:textId="4645E43A" w:rsidR="008B7C11" w:rsidRPr="009D6E4C"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t xml:space="preserve">С2 – сума </w:t>
      </w:r>
      <w:r w:rsidR="00CD1426">
        <w:rPr>
          <w:rFonts w:ascii="Times New Roman" w:hAnsi="Times New Roman"/>
          <w:sz w:val="24"/>
          <w:szCs w:val="24"/>
        </w:rPr>
        <w:t>другої</w:t>
      </w:r>
      <w:r w:rsidRPr="009D6E4C">
        <w:rPr>
          <w:rFonts w:ascii="Times New Roman" w:hAnsi="Times New Roman"/>
          <w:sz w:val="24"/>
          <w:szCs w:val="24"/>
        </w:rPr>
        <w:t xml:space="preserve"> частини договору РЕПО;</w:t>
      </w:r>
    </w:p>
    <w:p w14:paraId="3E974BA6" w14:textId="77777777" w:rsidR="008B7C11" w:rsidRPr="009D6E4C"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t>Ts – дата розрахунку другої частини договору РЕПО;</w:t>
      </w:r>
    </w:p>
    <w:p w14:paraId="4D3E0189" w14:textId="77777777" w:rsidR="008B7C11" w:rsidRPr="009D6E4C"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t>Tki – дата сплати</w:t>
      </w:r>
      <w:r w:rsidRPr="009D6E4C">
        <w:rPr>
          <w:rFonts w:ascii="Times New Roman" w:hAnsi="Times New Roman"/>
          <w:sz w:val="24"/>
          <w:szCs w:val="24"/>
          <w:lang w:val="ru-RU"/>
        </w:rPr>
        <w:t xml:space="preserve"> </w:t>
      </w:r>
      <w:r w:rsidRPr="009D6E4C">
        <w:rPr>
          <w:rFonts w:ascii="Times New Roman" w:hAnsi="Times New Roman"/>
          <w:sz w:val="24"/>
          <w:szCs w:val="24"/>
        </w:rPr>
        <w:t>i</w:t>
      </w:r>
      <w:r w:rsidRPr="009D6E4C">
        <w:rPr>
          <w:rFonts w:ascii="Times New Roman" w:hAnsi="Times New Roman"/>
          <w:sz w:val="24"/>
          <w:szCs w:val="24"/>
          <w:lang w:val="ru-RU"/>
        </w:rPr>
        <w:t>-</w:t>
      </w:r>
      <w:r w:rsidRPr="009D6E4C">
        <w:rPr>
          <w:rFonts w:ascii="Times New Roman" w:hAnsi="Times New Roman"/>
          <w:sz w:val="24"/>
          <w:szCs w:val="24"/>
        </w:rPr>
        <w:t>го купону;</w:t>
      </w:r>
    </w:p>
    <w:p w14:paraId="5ECDC3A1" w14:textId="77777777" w:rsidR="008B7C11" w:rsidRPr="009D6E4C"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t>То – дата укладання договору РЕПО;</w:t>
      </w:r>
    </w:p>
    <w:p w14:paraId="16D6CFAF" w14:textId="77777777" w:rsidR="008B7C11" w:rsidRPr="009D6E4C"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t>К – кількість цінних паперів в договорі РЕПО;</w:t>
      </w:r>
    </w:p>
    <w:p w14:paraId="49EA1808" w14:textId="4CB6D8F8" w:rsidR="008B7C11" w:rsidRPr="009D6E4C" w:rsidRDefault="008B7C11" w:rsidP="008B7C11">
      <w:pPr>
        <w:pStyle w:val="a5"/>
        <w:ind w:left="567"/>
        <w:jc w:val="both"/>
        <w:rPr>
          <w:rFonts w:ascii="Times New Roman" w:hAnsi="Times New Roman"/>
          <w:sz w:val="24"/>
          <w:szCs w:val="24"/>
        </w:rPr>
      </w:pPr>
      <w:r w:rsidRPr="009D6E4C">
        <w:rPr>
          <w:rFonts w:ascii="Times New Roman" w:hAnsi="Times New Roman"/>
          <w:sz w:val="24"/>
          <w:szCs w:val="24"/>
        </w:rPr>
        <w:t xml:space="preserve">РКi </w:t>
      </w:r>
      <w:r w:rsidR="00D8770D" w:rsidRPr="009D6E4C">
        <w:rPr>
          <w:rFonts w:ascii="Times New Roman" w:hAnsi="Times New Roman"/>
          <w:sz w:val="24"/>
          <w:szCs w:val="24"/>
        </w:rPr>
        <w:t xml:space="preserve">– </w:t>
      </w:r>
      <w:r w:rsidRPr="009D6E4C">
        <w:rPr>
          <w:rFonts w:ascii="Times New Roman" w:hAnsi="Times New Roman"/>
          <w:sz w:val="24"/>
          <w:szCs w:val="24"/>
        </w:rPr>
        <w:t>розмір i-го купону, сплата якого припадає на строк дії договору РЕПО.</w:t>
      </w:r>
    </w:p>
    <w:p w14:paraId="482A9BF6" w14:textId="48647F7C" w:rsidR="007C78E0" w:rsidRPr="004821BA" w:rsidRDefault="007C78E0" w:rsidP="007C78E0">
      <w:pPr>
        <w:pStyle w:val="a5"/>
        <w:ind w:left="567"/>
        <w:jc w:val="both"/>
        <w:rPr>
          <w:rFonts w:ascii="Times New Roman" w:hAnsi="Times New Roman"/>
          <w:sz w:val="24"/>
          <w:szCs w:val="24"/>
        </w:rPr>
      </w:pPr>
      <w:r>
        <w:rPr>
          <w:rFonts w:ascii="Times New Roman" w:hAnsi="Times New Roman"/>
          <w:sz w:val="24"/>
          <w:szCs w:val="24"/>
          <w:lang w:val="ru-RU"/>
        </w:rPr>
        <w:t>КВ</w:t>
      </w:r>
      <w:proofErr w:type="gramStart"/>
      <w:r>
        <w:rPr>
          <w:rFonts w:ascii="Times New Roman" w:hAnsi="Times New Roman"/>
          <w:sz w:val="24"/>
          <w:szCs w:val="24"/>
          <w:lang w:val="en-US"/>
        </w:rPr>
        <w:t>o</w:t>
      </w:r>
      <w:proofErr w:type="gramEnd"/>
      <w:r>
        <w:rPr>
          <w:rFonts w:ascii="Times New Roman" w:hAnsi="Times New Roman"/>
          <w:sz w:val="24"/>
          <w:szCs w:val="24"/>
          <w:lang w:val="ru-RU"/>
        </w:rPr>
        <w:t xml:space="preserve"> </w:t>
      </w:r>
      <w:r w:rsidR="00CD1426">
        <w:rPr>
          <w:rFonts w:ascii="Times New Roman" w:hAnsi="Times New Roman"/>
          <w:sz w:val="24"/>
          <w:szCs w:val="24"/>
          <w:lang w:val="ru-RU"/>
        </w:rPr>
        <w:t>–</w:t>
      </w:r>
      <w:r>
        <w:rPr>
          <w:rFonts w:ascii="Times New Roman" w:hAnsi="Times New Roman"/>
          <w:sz w:val="24"/>
          <w:szCs w:val="24"/>
          <w:lang w:val="ru-RU"/>
        </w:rPr>
        <w:t xml:space="preserve"> </w:t>
      </w:r>
      <w:proofErr w:type="spellStart"/>
      <w:r w:rsidR="00CD1426">
        <w:rPr>
          <w:rFonts w:ascii="Times New Roman" w:hAnsi="Times New Roman"/>
          <w:sz w:val="24"/>
          <w:szCs w:val="24"/>
          <w:lang w:val="ru-RU"/>
        </w:rPr>
        <w:t>офіційний</w:t>
      </w:r>
      <w:proofErr w:type="spellEnd"/>
      <w:r w:rsidR="00CD1426">
        <w:rPr>
          <w:rFonts w:ascii="Times New Roman" w:hAnsi="Times New Roman"/>
          <w:sz w:val="24"/>
          <w:szCs w:val="24"/>
          <w:lang w:val="ru-RU"/>
        </w:rPr>
        <w:t xml:space="preserve"> </w:t>
      </w:r>
      <w:r>
        <w:rPr>
          <w:rFonts w:ascii="Times New Roman" w:hAnsi="Times New Roman"/>
          <w:sz w:val="24"/>
          <w:szCs w:val="24"/>
        </w:rPr>
        <w:t xml:space="preserve">курс валюти номіналу </w:t>
      </w:r>
      <w:r w:rsidRPr="009D6E4C">
        <w:rPr>
          <w:rFonts w:ascii="Times New Roman" w:hAnsi="Times New Roman"/>
          <w:sz w:val="24"/>
          <w:szCs w:val="24"/>
        </w:rPr>
        <w:t xml:space="preserve">на дату </w:t>
      </w:r>
      <w:r>
        <w:rPr>
          <w:rFonts w:ascii="Times New Roman" w:hAnsi="Times New Roman"/>
          <w:sz w:val="24"/>
          <w:szCs w:val="24"/>
        </w:rPr>
        <w:t xml:space="preserve">укладення </w:t>
      </w:r>
      <w:r w:rsidR="00CD1426" w:rsidRPr="009D6E4C">
        <w:rPr>
          <w:rFonts w:ascii="Times New Roman" w:hAnsi="Times New Roman"/>
          <w:sz w:val="24"/>
          <w:szCs w:val="24"/>
        </w:rPr>
        <w:t>договору РЕПО</w:t>
      </w:r>
      <w:r>
        <w:rPr>
          <w:rFonts w:ascii="Times New Roman" w:hAnsi="Times New Roman"/>
          <w:sz w:val="24"/>
          <w:szCs w:val="24"/>
        </w:rPr>
        <w:t>.</w:t>
      </w:r>
    </w:p>
    <w:p w14:paraId="15434588" w14:textId="1DAE76FD" w:rsidR="00EC3D27" w:rsidRDefault="00647649" w:rsidP="000A39DA">
      <w:pPr>
        <w:tabs>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За результатами проведення</w:t>
      </w:r>
      <w:r w:rsidR="00EC3D27" w:rsidRPr="005D1193">
        <w:rPr>
          <w:rFonts w:ascii="Times New Roman" w:hAnsi="Times New Roman"/>
          <w:sz w:val="24"/>
          <w:szCs w:val="24"/>
        </w:rPr>
        <w:t xml:space="preserve"> процедури Mark-to-market значення </w:t>
      </w:r>
      <w:r w:rsidR="00A74122" w:rsidRPr="005D1193">
        <w:rPr>
          <w:rFonts w:ascii="Times New Roman" w:hAnsi="Times New Roman"/>
          <w:sz w:val="24"/>
          <w:szCs w:val="24"/>
        </w:rPr>
        <w:t>В</w:t>
      </w:r>
      <w:r w:rsidR="00EC3D27" w:rsidRPr="005D1193">
        <w:rPr>
          <w:rFonts w:ascii="Times New Roman" w:hAnsi="Times New Roman"/>
          <w:sz w:val="24"/>
          <w:szCs w:val="24"/>
        </w:rPr>
        <w:t xml:space="preserve">ільного ліміту може стати </w:t>
      </w:r>
      <w:r w:rsidR="003710E8">
        <w:rPr>
          <w:rFonts w:ascii="Times New Roman" w:hAnsi="Times New Roman"/>
          <w:sz w:val="24"/>
          <w:szCs w:val="24"/>
        </w:rPr>
        <w:t>від’ємним</w:t>
      </w:r>
      <w:r w:rsidR="00EC3D27" w:rsidRPr="005D1193">
        <w:rPr>
          <w:rFonts w:ascii="Times New Roman" w:hAnsi="Times New Roman"/>
          <w:sz w:val="24"/>
          <w:szCs w:val="24"/>
        </w:rPr>
        <w:t xml:space="preserve">. В цьому випадку учаснику </w:t>
      </w:r>
      <w:r w:rsidR="006C4B26" w:rsidRPr="005D1193">
        <w:rPr>
          <w:rFonts w:ascii="Times New Roman" w:hAnsi="Times New Roman"/>
          <w:sz w:val="24"/>
          <w:szCs w:val="24"/>
        </w:rPr>
        <w:t>клірингу надається</w:t>
      </w:r>
      <w:r w:rsidR="00EC3D27" w:rsidRPr="005D1193">
        <w:rPr>
          <w:rFonts w:ascii="Times New Roman" w:hAnsi="Times New Roman"/>
          <w:sz w:val="24"/>
          <w:szCs w:val="24"/>
        </w:rPr>
        <w:t xml:space="preserve"> маржинальна вимога на </w:t>
      </w:r>
      <w:r w:rsidR="008944F1" w:rsidRPr="005D1193">
        <w:rPr>
          <w:rFonts w:ascii="Times New Roman" w:hAnsi="Times New Roman"/>
          <w:sz w:val="24"/>
          <w:szCs w:val="24"/>
        </w:rPr>
        <w:t xml:space="preserve">суму нестачі </w:t>
      </w:r>
      <w:r w:rsidR="00A74122" w:rsidRPr="005D1193">
        <w:rPr>
          <w:rFonts w:ascii="Times New Roman" w:hAnsi="Times New Roman"/>
          <w:sz w:val="24"/>
          <w:szCs w:val="24"/>
        </w:rPr>
        <w:t>В</w:t>
      </w:r>
      <w:r w:rsidR="00EC3D27" w:rsidRPr="005D1193">
        <w:rPr>
          <w:rFonts w:ascii="Times New Roman" w:hAnsi="Times New Roman"/>
          <w:sz w:val="24"/>
          <w:szCs w:val="24"/>
        </w:rPr>
        <w:t xml:space="preserve">ільного ліміту. Маржинальна вимога має бути виконана учасником клірингу до початку </w:t>
      </w:r>
      <w:r w:rsidR="00806DE3" w:rsidRPr="005D1193">
        <w:rPr>
          <w:rFonts w:ascii="Times New Roman" w:hAnsi="Times New Roman"/>
          <w:sz w:val="24"/>
          <w:szCs w:val="24"/>
        </w:rPr>
        <w:t xml:space="preserve">основної </w:t>
      </w:r>
      <w:r w:rsidR="00EC3D27" w:rsidRPr="005D1193">
        <w:rPr>
          <w:rFonts w:ascii="Times New Roman" w:hAnsi="Times New Roman"/>
          <w:sz w:val="24"/>
          <w:szCs w:val="24"/>
        </w:rPr>
        <w:t xml:space="preserve">клірингової сесії поточного </w:t>
      </w:r>
      <w:r w:rsidR="00D02118" w:rsidRPr="005D1193">
        <w:rPr>
          <w:rFonts w:ascii="Times New Roman" w:hAnsi="Times New Roman"/>
          <w:sz w:val="24"/>
          <w:szCs w:val="24"/>
        </w:rPr>
        <w:t>операційн</w:t>
      </w:r>
      <w:r w:rsidR="00EC3D27" w:rsidRPr="005D1193">
        <w:rPr>
          <w:rFonts w:ascii="Times New Roman" w:hAnsi="Times New Roman"/>
          <w:sz w:val="24"/>
          <w:szCs w:val="24"/>
        </w:rPr>
        <w:t>ого дня.</w:t>
      </w:r>
    </w:p>
    <w:p w14:paraId="1745EF80" w14:textId="378D1F77" w:rsidR="0033053E" w:rsidRDefault="001717CB" w:rsidP="003710E8">
      <w:pPr>
        <w:tabs>
          <w:tab w:val="left" w:pos="993"/>
        </w:tabs>
        <w:spacing w:after="120" w:line="240" w:lineRule="auto"/>
        <w:ind w:firstLine="709"/>
        <w:jc w:val="both"/>
        <w:rPr>
          <w:rFonts w:ascii="Times New Roman" w:hAnsi="Times New Roman"/>
          <w:sz w:val="24"/>
          <w:szCs w:val="24"/>
        </w:rPr>
      </w:pPr>
      <w:r>
        <w:rPr>
          <w:rFonts w:ascii="Times New Roman" w:hAnsi="Times New Roman"/>
          <w:sz w:val="24"/>
          <w:szCs w:val="24"/>
        </w:rPr>
        <w:t>5.4.8</w:t>
      </w:r>
      <w:r w:rsidR="0033053E" w:rsidRPr="005D1193">
        <w:rPr>
          <w:rFonts w:ascii="Times New Roman" w:hAnsi="Times New Roman"/>
          <w:sz w:val="24"/>
          <w:szCs w:val="24"/>
        </w:rPr>
        <w:t xml:space="preserve">. </w:t>
      </w:r>
      <w:r w:rsidR="0033053E">
        <w:rPr>
          <w:rFonts w:ascii="Times New Roman" w:hAnsi="Times New Roman"/>
          <w:sz w:val="24"/>
          <w:szCs w:val="24"/>
        </w:rPr>
        <w:t xml:space="preserve">В разі </w:t>
      </w:r>
      <w:r w:rsidR="003710E8">
        <w:rPr>
          <w:rFonts w:ascii="Times New Roman" w:hAnsi="Times New Roman"/>
          <w:sz w:val="24"/>
          <w:szCs w:val="24"/>
        </w:rPr>
        <w:t>припинення Розрахунковим центром зобов’язань за</w:t>
      </w:r>
      <w:r w:rsidR="003710E8" w:rsidRPr="005D1193">
        <w:rPr>
          <w:rFonts w:ascii="Times New Roman" w:hAnsi="Times New Roman"/>
          <w:sz w:val="24"/>
          <w:szCs w:val="24"/>
        </w:rPr>
        <w:t xml:space="preserve"> </w:t>
      </w:r>
      <w:r w:rsidR="003710E8">
        <w:rPr>
          <w:rFonts w:ascii="Times New Roman" w:hAnsi="Times New Roman"/>
          <w:sz w:val="24"/>
          <w:szCs w:val="24"/>
        </w:rPr>
        <w:t xml:space="preserve">першою та другою частиною договору РЕПО </w:t>
      </w:r>
      <w:r w:rsidR="003710E8" w:rsidRPr="005D1193">
        <w:rPr>
          <w:rFonts w:ascii="Times New Roman" w:hAnsi="Times New Roman"/>
          <w:sz w:val="24"/>
          <w:szCs w:val="24"/>
        </w:rPr>
        <w:t xml:space="preserve">в результаті процедури </w:t>
      </w:r>
      <w:r w:rsidR="003710E8" w:rsidRPr="005D1193">
        <w:rPr>
          <w:rFonts w:ascii="Times New Roman" w:eastAsia="TimesNewRoman" w:hAnsi="Times New Roman"/>
          <w:sz w:val="24"/>
          <w:szCs w:val="24"/>
          <w:lang w:eastAsia="ru-RU"/>
        </w:rPr>
        <w:t>примусового припинення зобов’язань</w:t>
      </w:r>
      <w:r w:rsidR="003710E8" w:rsidRPr="005D1193">
        <w:rPr>
          <w:rFonts w:ascii="Times New Roman" w:hAnsi="Times New Roman"/>
          <w:sz w:val="24"/>
          <w:szCs w:val="24"/>
        </w:rPr>
        <w:t xml:space="preserve"> та/або </w:t>
      </w:r>
      <w:r w:rsidR="003710E8" w:rsidRPr="005D1193">
        <w:rPr>
          <w:rFonts w:ascii="Times New Roman" w:eastAsia="TimesNewRoman" w:hAnsi="Times New Roman"/>
          <w:sz w:val="24"/>
          <w:szCs w:val="24"/>
          <w:lang w:eastAsia="ru-RU"/>
        </w:rPr>
        <w:t>процедури ліквідаційного неттінгу</w:t>
      </w:r>
      <w:r w:rsidR="003710E8">
        <w:rPr>
          <w:rFonts w:ascii="Times New Roman" w:hAnsi="Times New Roman"/>
          <w:sz w:val="24"/>
          <w:szCs w:val="24"/>
        </w:rPr>
        <w:t xml:space="preserve"> </w:t>
      </w:r>
      <w:r w:rsidR="007F7B71">
        <w:rPr>
          <w:rFonts w:ascii="Times New Roman" w:hAnsi="Times New Roman"/>
          <w:sz w:val="24"/>
          <w:szCs w:val="24"/>
        </w:rPr>
        <w:t xml:space="preserve">з </w:t>
      </w:r>
      <w:r w:rsidR="0033053E">
        <w:rPr>
          <w:rFonts w:ascii="Times New Roman" w:hAnsi="Times New Roman"/>
          <w:sz w:val="24"/>
          <w:szCs w:val="24"/>
        </w:rPr>
        <w:t>винн</w:t>
      </w:r>
      <w:r w:rsidR="007F7B71">
        <w:rPr>
          <w:rFonts w:ascii="Times New Roman" w:hAnsi="Times New Roman"/>
          <w:sz w:val="24"/>
          <w:szCs w:val="24"/>
        </w:rPr>
        <w:t>ої</w:t>
      </w:r>
      <w:r w:rsidR="0033053E">
        <w:rPr>
          <w:rFonts w:ascii="Times New Roman" w:hAnsi="Times New Roman"/>
          <w:sz w:val="24"/>
          <w:szCs w:val="24"/>
        </w:rPr>
        <w:t xml:space="preserve"> сторон</w:t>
      </w:r>
      <w:r w:rsidR="007F7B71">
        <w:rPr>
          <w:rFonts w:ascii="Times New Roman" w:hAnsi="Times New Roman"/>
          <w:sz w:val="24"/>
          <w:szCs w:val="24"/>
        </w:rPr>
        <w:t>и</w:t>
      </w:r>
      <w:r w:rsidR="0033053E">
        <w:rPr>
          <w:rFonts w:ascii="Times New Roman" w:hAnsi="Times New Roman"/>
          <w:sz w:val="24"/>
          <w:szCs w:val="24"/>
        </w:rPr>
        <w:t xml:space="preserve"> </w:t>
      </w:r>
      <w:r w:rsidR="00F86327">
        <w:rPr>
          <w:rFonts w:ascii="Times New Roman" w:hAnsi="Times New Roman"/>
          <w:sz w:val="24"/>
          <w:szCs w:val="24"/>
        </w:rPr>
        <w:t xml:space="preserve">договору РЕПО </w:t>
      </w:r>
      <w:r w:rsidR="007F7B71">
        <w:rPr>
          <w:rFonts w:ascii="Times New Roman" w:hAnsi="Times New Roman"/>
          <w:sz w:val="24"/>
          <w:szCs w:val="24"/>
        </w:rPr>
        <w:t xml:space="preserve">стягується та </w:t>
      </w:r>
      <w:r w:rsidR="0033053E">
        <w:rPr>
          <w:rFonts w:ascii="Times New Roman" w:hAnsi="Times New Roman"/>
          <w:sz w:val="24"/>
          <w:szCs w:val="24"/>
        </w:rPr>
        <w:t>сплачує</w:t>
      </w:r>
      <w:r w:rsidR="007F7B71">
        <w:rPr>
          <w:rFonts w:ascii="Times New Roman" w:hAnsi="Times New Roman"/>
          <w:sz w:val="24"/>
          <w:szCs w:val="24"/>
        </w:rPr>
        <w:t>ться добросовісній стороні договору РЕПО</w:t>
      </w:r>
      <w:r w:rsidR="0033053E">
        <w:rPr>
          <w:rFonts w:ascii="Times New Roman" w:hAnsi="Times New Roman"/>
          <w:sz w:val="24"/>
          <w:szCs w:val="24"/>
        </w:rPr>
        <w:t xml:space="preserve"> штраф в розмірі</w:t>
      </w:r>
      <w:r w:rsidR="00F86327">
        <w:rPr>
          <w:rFonts w:ascii="Times New Roman" w:hAnsi="Times New Roman"/>
          <w:sz w:val="24"/>
          <w:szCs w:val="24"/>
        </w:rPr>
        <w:t>,</w:t>
      </w:r>
      <w:r w:rsidR="0033053E">
        <w:rPr>
          <w:rFonts w:ascii="Times New Roman" w:hAnsi="Times New Roman"/>
          <w:sz w:val="24"/>
          <w:szCs w:val="24"/>
        </w:rPr>
        <w:t xml:space="preserve"> що дорівнює базовій частині забезпечення за відповідним договором РЕПО.</w:t>
      </w:r>
    </w:p>
    <w:p w14:paraId="1E936042" w14:textId="1F9BBC25" w:rsidR="00AE2691" w:rsidRDefault="0033053E" w:rsidP="000A39DA">
      <w:pPr>
        <w:tabs>
          <w:tab w:val="left" w:pos="993"/>
        </w:tabs>
        <w:spacing w:after="120" w:line="240" w:lineRule="auto"/>
        <w:ind w:firstLine="709"/>
        <w:jc w:val="both"/>
        <w:rPr>
          <w:rFonts w:ascii="Times New Roman" w:hAnsi="Times New Roman"/>
          <w:sz w:val="24"/>
          <w:szCs w:val="24"/>
        </w:rPr>
      </w:pPr>
      <w:r>
        <w:rPr>
          <w:rFonts w:ascii="Times New Roman" w:hAnsi="Times New Roman"/>
          <w:sz w:val="24"/>
          <w:szCs w:val="24"/>
        </w:rPr>
        <w:t xml:space="preserve">В разі припинення </w:t>
      </w:r>
      <w:r w:rsidR="00B306FC">
        <w:rPr>
          <w:rFonts w:ascii="Times New Roman" w:hAnsi="Times New Roman"/>
          <w:sz w:val="24"/>
          <w:szCs w:val="24"/>
        </w:rPr>
        <w:t xml:space="preserve">Розрахунковим центром </w:t>
      </w:r>
      <w:r>
        <w:rPr>
          <w:rFonts w:ascii="Times New Roman" w:hAnsi="Times New Roman"/>
          <w:sz w:val="24"/>
          <w:szCs w:val="24"/>
        </w:rPr>
        <w:t>зобов’язань за другою частиною договору РЕПО</w:t>
      </w:r>
      <w:r w:rsidR="00AE2691">
        <w:rPr>
          <w:rFonts w:ascii="Times New Roman" w:hAnsi="Times New Roman"/>
          <w:sz w:val="24"/>
          <w:szCs w:val="24"/>
        </w:rPr>
        <w:t xml:space="preserve"> </w:t>
      </w:r>
      <w:r w:rsidR="003710E8" w:rsidRPr="005D1193">
        <w:rPr>
          <w:rFonts w:ascii="Times New Roman" w:hAnsi="Times New Roman"/>
          <w:sz w:val="24"/>
          <w:szCs w:val="24"/>
        </w:rPr>
        <w:t xml:space="preserve">в результаті процедури </w:t>
      </w:r>
      <w:r w:rsidR="003710E8" w:rsidRPr="005D1193">
        <w:rPr>
          <w:rFonts w:ascii="Times New Roman" w:eastAsia="TimesNewRoman" w:hAnsi="Times New Roman"/>
          <w:sz w:val="24"/>
          <w:szCs w:val="24"/>
          <w:lang w:eastAsia="ru-RU"/>
        </w:rPr>
        <w:t>примусового припинення зобов’язань</w:t>
      </w:r>
      <w:r w:rsidR="003710E8" w:rsidRPr="005D1193">
        <w:rPr>
          <w:rFonts w:ascii="Times New Roman" w:hAnsi="Times New Roman"/>
          <w:sz w:val="24"/>
          <w:szCs w:val="24"/>
        </w:rPr>
        <w:t xml:space="preserve"> та/або </w:t>
      </w:r>
      <w:r w:rsidR="003710E8" w:rsidRPr="005D1193">
        <w:rPr>
          <w:rFonts w:ascii="Times New Roman" w:eastAsia="TimesNewRoman" w:hAnsi="Times New Roman"/>
          <w:sz w:val="24"/>
          <w:szCs w:val="24"/>
          <w:lang w:eastAsia="ru-RU"/>
        </w:rPr>
        <w:t>процедури ліквідаційного неттінгу</w:t>
      </w:r>
      <w:r w:rsidR="003710E8">
        <w:rPr>
          <w:rFonts w:ascii="Times New Roman" w:hAnsi="Times New Roman"/>
          <w:sz w:val="24"/>
          <w:szCs w:val="24"/>
        </w:rPr>
        <w:t xml:space="preserve"> </w:t>
      </w:r>
      <w:r w:rsidR="00AE2691">
        <w:rPr>
          <w:rFonts w:ascii="Times New Roman" w:hAnsi="Times New Roman"/>
          <w:sz w:val="24"/>
          <w:szCs w:val="24"/>
        </w:rPr>
        <w:t>розмір штрафу визначається наступним чином:</w:t>
      </w:r>
    </w:p>
    <w:p w14:paraId="0323E034" w14:textId="7124FC6B" w:rsidR="001E31FC" w:rsidRDefault="001E31FC" w:rsidP="001E31FC">
      <w:pPr>
        <w:pStyle w:val="a5"/>
        <w:numPr>
          <w:ilvl w:val="0"/>
          <w:numId w:val="50"/>
        </w:numPr>
        <w:tabs>
          <w:tab w:val="left" w:pos="993"/>
        </w:tabs>
        <w:spacing w:after="120" w:line="240" w:lineRule="auto"/>
        <w:jc w:val="both"/>
        <w:rPr>
          <w:rFonts w:ascii="Times New Roman" w:hAnsi="Times New Roman"/>
          <w:sz w:val="24"/>
          <w:szCs w:val="24"/>
        </w:rPr>
      </w:pPr>
      <w:r>
        <w:rPr>
          <w:rFonts w:ascii="Times New Roman" w:hAnsi="Times New Roman"/>
          <w:sz w:val="24"/>
          <w:szCs w:val="24"/>
        </w:rPr>
        <w:t>штраф, який стягується з винної сторони</w:t>
      </w:r>
      <w:r w:rsidRPr="00AE2691">
        <w:rPr>
          <w:rFonts w:ascii="Times New Roman" w:hAnsi="Times New Roman"/>
          <w:sz w:val="24"/>
          <w:szCs w:val="24"/>
        </w:rPr>
        <w:t xml:space="preserve"> </w:t>
      </w:r>
      <w:r w:rsidR="004453D7">
        <w:rPr>
          <w:rFonts w:ascii="Times New Roman" w:hAnsi="Times New Roman"/>
          <w:sz w:val="24"/>
          <w:szCs w:val="24"/>
        </w:rPr>
        <w:t>договору РЕПО-</w:t>
      </w:r>
      <w:r w:rsidRPr="00AE2691">
        <w:rPr>
          <w:rFonts w:ascii="Times New Roman" w:hAnsi="Times New Roman"/>
          <w:sz w:val="24"/>
          <w:szCs w:val="24"/>
        </w:rPr>
        <w:t>кредитор</w:t>
      </w:r>
      <w:r>
        <w:rPr>
          <w:rFonts w:ascii="Times New Roman" w:hAnsi="Times New Roman"/>
          <w:sz w:val="24"/>
          <w:szCs w:val="24"/>
        </w:rPr>
        <w:t>а</w:t>
      </w:r>
      <w:r w:rsidRPr="00AE2691">
        <w:rPr>
          <w:rFonts w:ascii="Times New Roman" w:hAnsi="Times New Roman"/>
          <w:sz w:val="24"/>
          <w:szCs w:val="24"/>
        </w:rPr>
        <w:t xml:space="preserve"> </w:t>
      </w:r>
      <w:r>
        <w:rPr>
          <w:rFonts w:ascii="Times New Roman" w:hAnsi="Times New Roman"/>
          <w:sz w:val="24"/>
          <w:szCs w:val="24"/>
        </w:rPr>
        <w:t xml:space="preserve">та </w:t>
      </w:r>
      <w:r w:rsidR="004453D7">
        <w:rPr>
          <w:rFonts w:ascii="Times New Roman" w:hAnsi="Times New Roman"/>
          <w:sz w:val="24"/>
          <w:szCs w:val="24"/>
        </w:rPr>
        <w:t>сплачується</w:t>
      </w:r>
      <w:r>
        <w:rPr>
          <w:rFonts w:ascii="Times New Roman" w:hAnsi="Times New Roman"/>
          <w:sz w:val="24"/>
          <w:szCs w:val="24"/>
        </w:rPr>
        <w:t xml:space="preserve"> добросовісній стороні</w:t>
      </w:r>
      <w:r w:rsidR="004453D7" w:rsidRPr="004453D7">
        <w:rPr>
          <w:rFonts w:ascii="Times New Roman" w:hAnsi="Times New Roman"/>
          <w:sz w:val="24"/>
          <w:szCs w:val="24"/>
        </w:rPr>
        <w:t xml:space="preserve"> </w:t>
      </w:r>
      <w:r w:rsidR="004453D7">
        <w:rPr>
          <w:rFonts w:ascii="Times New Roman" w:hAnsi="Times New Roman"/>
          <w:sz w:val="24"/>
          <w:szCs w:val="24"/>
        </w:rPr>
        <w:t>договору РЕПО-</w:t>
      </w:r>
      <w:r>
        <w:rPr>
          <w:rFonts w:ascii="Times New Roman" w:hAnsi="Times New Roman"/>
          <w:sz w:val="24"/>
          <w:szCs w:val="24"/>
        </w:rPr>
        <w:t>позичальнику</w:t>
      </w:r>
      <w:r w:rsidR="004453D7">
        <w:rPr>
          <w:rFonts w:ascii="Times New Roman" w:hAnsi="Times New Roman"/>
          <w:sz w:val="24"/>
          <w:szCs w:val="24"/>
        </w:rPr>
        <w:t>,</w:t>
      </w:r>
      <w:r>
        <w:rPr>
          <w:rFonts w:ascii="Times New Roman" w:hAnsi="Times New Roman"/>
          <w:sz w:val="24"/>
          <w:szCs w:val="24"/>
        </w:rPr>
        <w:t xml:space="preserve"> дорівнює</w:t>
      </w:r>
      <w:r w:rsidRPr="00AE2691">
        <w:rPr>
          <w:rFonts w:ascii="Times New Roman" w:hAnsi="Times New Roman"/>
          <w:sz w:val="24"/>
          <w:szCs w:val="24"/>
        </w:rPr>
        <w:t xml:space="preserve"> </w:t>
      </w:r>
      <w:r>
        <w:rPr>
          <w:rFonts w:ascii="Times New Roman" w:hAnsi="Times New Roman"/>
          <w:sz w:val="24"/>
          <w:szCs w:val="24"/>
        </w:rPr>
        <w:t>сумі</w:t>
      </w:r>
      <w:r w:rsidRPr="00AE2691">
        <w:rPr>
          <w:rFonts w:ascii="Times New Roman" w:hAnsi="Times New Roman"/>
          <w:sz w:val="24"/>
          <w:szCs w:val="24"/>
        </w:rPr>
        <w:t xml:space="preserve"> </w:t>
      </w:r>
      <w:r>
        <w:rPr>
          <w:rFonts w:ascii="Times New Roman" w:hAnsi="Times New Roman"/>
          <w:sz w:val="24"/>
          <w:szCs w:val="24"/>
        </w:rPr>
        <w:t xml:space="preserve">двох </w:t>
      </w:r>
      <w:r w:rsidRPr="00AE2691">
        <w:rPr>
          <w:rFonts w:ascii="Times New Roman" w:hAnsi="Times New Roman"/>
          <w:sz w:val="24"/>
          <w:szCs w:val="24"/>
        </w:rPr>
        <w:t xml:space="preserve">базових частин </w:t>
      </w:r>
      <w:r>
        <w:rPr>
          <w:rFonts w:ascii="Times New Roman" w:hAnsi="Times New Roman"/>
          <w:sz w:val="24"/>
          <w:szCs w:val="24"/>
        </w:rPr>
        <w:t xml:space="preserve">забезпечення збільшеній на розмір </w:t>
      </w:r>
      <w:r w:rsidRPr="00AE2691">
        <w:rPr>
          <w:rFonts w:ascii="Times New Roman" w:hAnsi="Times New Roman"/>
          <w:sz w:val="24"/>
          <w:szCs w:val="24"/>
        </w:rPr>
        <w:t>додатков</w:t>
      </w:r>
      <w:r>
        <w:rPr>
          <w:rFonts w:ascii="Times New Roman" w:hAnsi="Times New Roman"/>
          <w:sz w:val="24"/>
          <w:szCs w:val="24"/>
        </w:rPr>
        <w:t>ої</w:t>
      </w:r>
      <w:r w:rsidRPr="00AE2691">
        <w:rPr>
          <w:rFonts w:ascii="Times New Roman" w:hAnsi="Times New Roman"/>
          <w:sz w:val="24"/>
          <w:szCs w:val="24"/>
        </w:rPr>
        <w:t xml:space="preserve"> частин</w:t>
      </w:r>
      <w:r>
        <w:rPr>
          <w:rFonts w:ascii="Times New Roman" w:hAnsi="Times New Roman"/>
          <w:sz w:val="24"/>
          <w:szCs w:val="24"/>
        </w:rPr>
        <w:t>и</w:t>
      </w:r>
      <w:r w:rsidRPr="00AE2691">
        <w:rPr>
          <w:rFonts w:ascii="Times New Roman" w:hAnsi="Times New Roman"/>
          <w:sz w:val="24"/>
          <w:szCs w:val="24"/>
        </w:rPr>
        <w:t xml:space="preserve"> забезпечення </w:t>
      </w:r>
      <w:r>
        <w:rPr>
          <w:rFonts w:ascii="Times New Roman" w:hAnsi="Times New Roman"/>
          <w:sz w:val="24"/>
          <w:szCs w:val="24"/>
        </w:rPr>
        <w:t xml:space="preserve">за відповідним </w:t>
      </w:r>
      <w:r>
        <w:rPr>
          <w:rFonts w:ascii="Times New Roman" w:hAnsi="Times New Roman"/>
          <w:sz w:val="24"/>
          <w:szCs w:val="24"/>
        </w:rPr>
        <w:lastRenderedPageBreak/>
        <w:t xml:space="preserve">договором РЕПО (у випадку, якщо розраховане значення </w:t>
      </w:r>
      <w:r w:rsidRPr="00AE2691">
        <w:rPr>
          <w:rFonts w:ascii="Times New Roman" w:hAnsi="Times New Roman"/>
          <w:sz w:val="24"/>
          <w:szCs w:val="24"/>
        </w:rPr>
        <w:t>додатков</w:t>
      </w:r>
      <w:r>
        <w:rPr>
          <w:rFonts w:ascii="Times New Roman" w:hAnsi="Times New Roman"/>
          <w:sz w:val="24"/>
          <w:szCs w:val="24"/>
        </w:rPr>
        <w:t>ої</w:t>
      </w:r>
      <w:r w:rsidRPr="00AE2691">
        <w:rPr>
          <w:rFonts w:ascii="Times New Roman" w:hAnsi="Times New Roman"/>
          <w:sz w:val="24"/>
          <w:szCs w:val="24"/>
        </w:rPr>
        <w:t xml:space="preserve"> частин</w:t>
      </w:r>
      <w:r>
        <w:rPr>
          <w:rFonts w:ascii="Times New Roman" w:hAnsi="Times New Roman"/>
          <w:sz w:val="24"/>
          <w:szCs w:val="24"/>
        </w:rPr>
        <w:t>и</w:t>
      </w:r>
      <w:r w:rsidRPr="00AE2691">
        <w:rPr>
          <w:rFonts w:ascii="Times New Roman" w:hAnsi="Times New Roman"/>
          <w:sz w:val="24"/>
          <w:szCs w:val="24"/>
        </w:rPr>
        <w:t xml:space="preserve"> забезпечення</w:t>
      </w:r>
      <w:r>
        <w:rPr>
          <w:rFonts w:ascii="Times New Roman" w:hAnsi="Times New Roman"/>
          <w:sz w:val="24"/>
          <w:szCs w:val="24"/>
        </w:rPr>
        <w:t xml:space="preserve"> </w:t>
      </w:r>
      <w:r w:rsidR="00687792">
        <w:rPr>
          <w:rFonts w:ascii="Times New Roman" w:hAnsi="Times New Roman"/>
          <w:sz w:val="24"/>
          <w:szCs w:val="24"/>
        </w:rPr>
        <w:t>додатне</w:t>
      </w:r>
      <w:r>
        <w:rPr>
          <w:rFonts w:ascii="Times New Roman" w:hAnsi="Times New Roman"/>
          <w:sz w:val="24"/>
          <w:szCs w:val="24"/>
        </w:rPr>
        <w:t xml:space="preserve">) або зменшеній на розмір </w:t>
      </w:r>
      <w:r w:rsidRPr="00AE2691">
        <w:rPr>
          <w:rFonts w:ascii="Times New Roman" w:hAnsi="Times New Roman"/>
          <w:sz w:val="24"/>
          <w:szCs w:val="24"/>
        </w:rPr>
        <w:t>додатков</w:t>
      </w:r>
      <w:r>
        <w:rPr>
          <w:rFonts w:ascii="Times New Roman" w:hAnsi="Times New Roman"/>
          <w:sz w:val="24"/>
          <w:szCs w:val="24"/>
        </w:rPr>
        <w:t>ої</w:t>
      </w:r>
      <w:r w:rsidRPr="00AE2691">
        <w:rPr>
          <w:rFonts w:ascii="Times New Roman" w:hAnsi="Times New Roman"/>
          <w:sz w:val="24"/>
          <w:szCs w:val="24"/>
        </w:rPr>
        <w:t xml:space="preserve"> частин</w:t>
      </w:r>
      <w:r>
        <w:rPr>
          <w:rFonts w:ascii="Times New Roman" w:hAnsi="Times New Roman"/>
          <w:sz w:val="24"/>
          <w:szCs w:val="24"/>
        </w:rPr>
        <w:t>и</w:t>
      </w:r>
      <w:r w:rsidRPr="00AE2691">
        <w:rPr>
          <w:rFonts w:ascii="Times New Roman" w:hAnsi="Times New Roman"/>
          <w:sz w:val="24"/>
          <w:szCs w:val="24"/>
        </w:rPr>
        <w:t xml:space="preserve"> забезпечення </w:t>
      </w:r>
      <w:r>
        <w:rPr>
          <w:rFonts w:ascii="Times New Roman" w:hAnsi="Times New Roman"/>
          <w:sz w:val="24"/>
          <w:szCs w:val="24"/>
        </w:rPr>
        <w:t xml:space="preserve">за відповідним договором РЕПО (у випадку, якщо розраховане значення </w:t>
      </w:r>
      <w:r w:rsidRPr="00AE2691">
        <w:rPr>
          <w:rFonts w:ascii="Times New Roman" w:hAnsi="Times New Roman"/>
          <w:sz w:val="24"/>
          <w:szCs w:val="24"/>
        </w:rPr>
        <w:t>додатков</w:t>
      </w:r>
      <w:r>
        <w:rPr>
          <w:rFonts w:ascii="Times New Roman" w:hAnsi="Times New Roman"/>
          <w:sz w:val="24"/>
          <w:szCs w:val="24"/>
        </w:rPr>
        <w:t>ої</w:t>
      </w:r>
      <w:r w:rsidRPr="00AE2691">
        <w:rPr>
          <w:rFonts w:ascii="Times New Roman" w:hAnsi="Times New Roman"/>
          <w:sz w:val="24"/>
          <w:szCs w:val="24"/>
        </w:rPr>
        <w:t xml:space="preserve"> частин</w:t>
      </w:r>
      <w:r>
        <w:rPr>
          <w:rFonts w:ascii="Times New Roman" w:hAnsi="Times New Roman"/>
          <w:sz w:val="24"/>
          <w:szCs w:val="24"/>
        </w:rPr>
        <w:t>и</w:t>
      </w:r>
      <w:r w:rsidRPr="00AE2691">
        <w:rPr>
          <w:rFonts w:ascii="Times New Roman" w:hAnsi="Times New Roman"/>
          <w:sz w:val="24"/>
          <w:szCs w:val="24"/>
        </w:rPr>
        <w:t xml:space="preserve"> забезпечення</w:t>
      </w:r>
      <w:r>
        <w:rPr>
          <w:rFonts w:ascii="Times New Roman" w:hAnsi="Times New Roman"/>
          <w:sz w:val="24"/>
          <w:szCs w:val="24"/>
        </w:rPr>
        <w:t xml:space="preserve"> від’єм</w:t>
      </w:r>
      <w:r w:rsidR="00687792">
        <w:rPr>
          <w:rFonts w:ascii="Times New Roman" w:hAnsi="Times New Roman"/>
          <w:sz w:val="24"/>
          <w:szCs w:val="24"/>
        </w:rPr>
        <w:t>н</w:t>
      </w:r>
      <w:r w:rsidR="00611C73">
        <w:rPr>
          <w:rFonts w:ascii="Times New Roman" w:hAnsi="Times New Roman"/>
          <w:sz w:val="24"/>
          <w:szCs w:val="24"/>
        </w:rPr>
        <w:t>е</w:t>
      </w:r>
      <w:r>
        <w:rPr>
          <w:rFonts w:ascii="Times New Roman" w:hAnsi="Times New Roman"/>
          <w:sz w:val="24"/>
          <w:szCs w:val="24"/>
        </w:rPr>
        <w:t>), але не менше однієї базової частини забезпечення;</w:t>
      </w:r>
    </w:p>
    <w:p w14:paraId="125CDA66" w14:textId="3BF3C5D5" w:rsidR="001E31FC" w:rsidRDefault="001E31FC" w:rsidP="001E31FC">
      <w:pPr>
        <w:pStyle w:val="a5"/>
        <w:numPr>
          <w:ilvl w:val="0"/>
          <w:numId w:val="50"/>
        </w:numPr>
        <w:tabs>
          <w:tab w:val="left" w:pos="993"/>
        </w:tabs>
        <w:spacing w:after="120" w:line="240" w:lineRule="auto"/>
        <w:jc w:val="both"/>
        <w:rPr>
          <w:rFonts w:ascii="Times New Roman" w:hAnsi="Times New Roman"/>
          <w:sz w:val="24"/>
          <w:szCs w:val="24"/>
        </w:rPr>
      </w:pPr>
      <w:r>
        <w:rPr>
          <w:rFonts w:ascii="Times New Roman" w:hAnsi="Times New Roman"/>
          <w:sz w:val="24"/>
          <w:szCs w:val="24"/>
        </w:rPr>
        <w:t xml:space="preserve">штраф, який стягується з винної сторони </w:t>
      </w:r>
      <w:r w:rsidR="004453D7">
        <w:rPr>
          <w:rFonts w:ascii="Times New Roman" w:hAnsi="Times New Roman"/>
          <w:sz w:val="24"/>
          <w:szCs w:val="24"/>
        </w:rPr>
        <w:t>договору РЕПО-</w:t>
      </w:r>
      <w:r>
        <w:rPr>
          <w:rFonts w:ascii="Times New Roman" w:hAnsi="Times New Roman"/>
          <w:sz w:val="24"/>
          <w:szCs w:val="24"/>
        </w:rPr>
        <w:t xml:space="preserve">позичальника та </w:t>
      </w:r>
      <w:r w:rsidR="004453D7">
        <w:rPr>
          <w:rFonts w:ascii="Times New Roman" w:hAnsi="Times New Roman"/>
          <w:sz w:val="24"/>
          <w:szCs w:val="24"/>
        </w:rPr>
        <w:t xml:space="preserve">сплачується </w:t>
      </w:r>
      <w:r>
        <w:rPr>
          <w:rFonts w:ascii="Times New Roman" w:hAnsi="Times New Roman"/>
          <w:sz w:val="24"/>
          <w:szCs w:val="24"/>
        </w:rPr>
        <w:t>добросовісній стороні</w:t>
      </w:r>
      <w:r w:rsidR="004453D7" w:rsidRPr="004453D7">
        <w:rPr>
          <w:rFonts w:ascii="Times New Roman" w:hAnsi="Times New Roman"/>
          <w:sz w:val="24"/>
          <w:szCs w:val="24"/>
        </w:rPr>
        <w:t xml:space="preserve"> </w:t>
      </w:r>
      <w:r w:rsidR="004453D7">
        <w:rPr>
          <w:rFonts w:ascii="Times New Roman" w:hAnsi="Times New Roman"/>
          <w:sz w:val="24"/>
          <w:szCs w:val="24"/>
        </w:rPr>
        <w:t>договору РЕПО</w:t>
      </w:r>
      <w:r>
        <w:rPr>
          <w:rFonts w:ascii="Times New Roman" w:hAnsi="Times New Roman"/>
          <w:sz w:val="24"/>
          <w:szCs w:val="24"/>
        </w:rPr>
        <w:t>-кредитору</w:t>
      </w:r>
      <w:r w:rsidR="00B55B14">
        <w:rPr>
          <w:rFonts w:ascii="Times New Roman" w:hAnsi="Times New Roman"/>
          <w:sz w:val="24"/>
          <w:szCs w:val="24"/>
        </w:rPr>
        <w:t>,</w:t>
      </w:r>
      <w:r>
        <w:rPr>
          <w:rFonts w:ascii="Times New Roman" w:hAnsi="Times New Roman"/>
          <w:sz w:val="24"/>
          <w:szCs w:val="24"/>
        </w:rPr>
        <w:t xml:space="preserve"> дорівнює</w:t>
      </w:r>
      <w:r w:rsidRPr="00AE2691">
        <w:rPr>
          <w:rFonts w:ascii="Times New Roman" w:hAnsi="Times New Roman"/>
          <w:sz w:val="24"/>
          <w:szCs w:val="24"/>
        </w:rPr>
        <w:t xml:space="preserve"> </w:t>
      </w:r>
      <w:r>
        <w:rPr>
          <w:rFonts w:ascii="Times New Roman" w:hAnsi="Times New Roman"/>
          <w:sz w:val="24"/>
          <w:szCs w:val="24"/>
        </w:rPr>
        <w:t>модулю від’ємног</w:t>
      </w:r>
      <w:r w:rsidRPr="004821BA">
        <w:rPr>
          <w:rFonts w:ascii="Times New Roman" w:hAnsi="Times New Roman"/>
          <w:sz w:val="24"/>
          <w:szCs w:val="24"/>
        </w:rPr>
        <w:t>о значення</w:t>
      </w:r>
      <w:r>
        <w:rPr>
          <w:rFonts w:ascii="Times New Roman" w:hAnsi="Times New Roman"/>
          <w:sz w:val="24"/>
          <w:szCs w:val="24"/>
        </w:rPr>
        <w:t xml:space="preserve"> додаткової</w:t>
      </w:r>
      <w:r w:rsidRPr="00AE2691">
        <w:rPr>
          <w:rFonts w:ascii="Times New Roman" w:hAnsi="Times New Roman"/>
          <w:sz w:val="24"/>
          <w:szCs w:val="24"/>
        </w:rPr>
        <w:t xml:space="preserve"> частин</w:t>
      </w:r>
      <w:r>
        <w:rPr>
          <w:rFonts w:ascii="Times New Roman" w:hAnsi="Times New Roman"/>
          <w:sz w:val="24"/>
          <w:szCs w:val="24"/>
        </w:rPr>
        <w:t>и</w:t>
      </w:r>
      <w:r w:rsidRPr="00AE2691">
        <w:rPr>
          <w:rFonts w:ascii="Times New Roman" w:hAnsi="Times New Roman"/>
          <w:sz w:val="24"/>
          <w:szCs w:val="24"/>
        </w:rPr>
        <w:t xml:space="preserve"> забезпечення </w:t>
      </w:r>
      <w:r>
        <w:rPr>
          <w:rFonts w:ascii="Times New Roman" w:hAnsi="Times New Roman"/>
          <w:sz w:val="24"/>
          <w:szCs w:val="24"/>
        </w:rPr>
        <w:t xml:space="preserve">за відповідним договором РЕПО (у випадку, якщо розраховане значення </w:t>
      </w:r>
      <w:r w:rsidRPr="00AE2691">
        <w:rPr>
          <w:rFonts w:ascii="Times New Roman" w:hAnsi="Times New Roman"/>
          <w:sz w:val="24"/>
          <w:szCs w:val="24"/>
        </w:rPr>
        <w:t>додатков</w:t>
      </w:r>
      <w:r>
        <w:rPr>
          <w:rFonts w:ascii="Times New Roman" w:hAnsi="Times New Roman"/>
          <w:sz w:val="24"/>
          <w:szCs w:val="24"/>
        </w:rPr>
        <w:t>ої</w:t>
      </w:r>
      <w:r w:rsidRPr="00AE2691">
        <w:rPr>
          <w:rFonts w:ascii="Times New Roman" w:hAnsi="Times New Roman"/>
          <w:sz w:val="24"/>
          <w:szCs w:val="24"/>
        </w:rPr>
        <w:t xml:space="preserve"> частин</w:t>
      </w:r>
      <w:r>
        <w:rPr>
          <w:rFonts w:ascii="Times New Roman" w:hAnsi="Times New Roman"/>
          <w:sz w:val="24"/>
          <w:szCs w:val="24"/>
        </w:rPr>
        <w:t>и</w:t>
      </w:r>
      <w:r w:rsidRPr="00AE2691">
        <w:rPr>
          <w:rFonts w:ascii="Times New Roman" w:hAnsi="Times New Roman"/>
          <w:sz w:val="24"/>
          <w:szCs w:val="24"/>
        </w:rPr>
        <w:t xml:space="preserve"> забезпечення</w:t>
      </w:r>
      <w:r>
        <w:rPr>
          <w:rFonts w:ascii="Times New Roman" w:hAnsi="Times New Roman"/>
          <w:sz w:val="24"/>
          <w:szCs w:val="24"/>
        </w:rPr>
        <w:t xml:space="preserve"> </w:t>
      </w:r>
      <w:r w:rsidR="009E0A65">
        <w:rPr>
          <w:rFonts w:ascii="Times New Roman" w:hAnsi="Times New Roman"/>
          <w:sz w:val="24"/>
          <w:szCs w:val="24"/>
        </w:rPr>
        <w:t>від’ємне</w:t>
      </w:r>
      <w:r>
        <w:rPr>
          <w:rFonts w:ascii="Times New Roman" w:hAnsi="Times New Roman"/>
          <w:sz w:val="24"/>
          <w:szCs w:val="24"/>
        </w:rPr>
        <w:t xml:space="preserve">) або нулю (у випадку, якщо розраховане значення </w:t>
      </w:r>
      <w:r w:rsidRPr="00AE2691">
        <w:rPr>
          <w:rFonts w:ascii="Times New Roman" w:hAnsi="Times New Roman"/>
          <w:sz w:val="24"/>
          <w:szCs w:val="24"/>
        </w:rPr>
        <w:t>додатков</w:t>
      </w:r>
      <w:r>
        <w:rPr>
          <w:rFonts w:ascii="Times New Roman" w:hAnsi="Times New Roman"/>
          <w:sz w:val="24"/>
          <w:szCs w:val="24"/>
        </w:rPr>
        <w:t>ої</w:t>
      </w:r>
      <w:r w:rsidRPr="00AE2691">
        <w:rPr>
          <w:rFonts w:ascii="Times New Roman" w:hAnsi="Times New Roman"/>
          <w:sz w:val="24"/>
          <w:szCs w:val="24"/>
        </w:rPr>
        <w:t xml:space="preserve"> частин</w:t>
      </w:r>
      <w:r>
        <w:rPr>
          <w:rFonts w:ascii="Times New Roman" w:hAnsi="Times New Roman"/>
          <w:sz w:val="24"/>
          <w:szCs w:val="24"/>
        </w:rPr>
        <w:t>и</w:t>
      </w:r>
      <w:r w:rsidRPr="00AE2691">
        <w:rPr>
          <w:rFonts w:ascii="Times New Roman" w:hAnsi="Times New Roman"/>
          <w:sz w:val="24"/>
          <w:szCs w:val="24"/>
        </w:rPr>
        <w:t xml:space="preserve"> забезпечення</w:t>
      </w:r>
      <w:r>
        <w:rPr>
          <w:rFonts w:ascii="Times New Roman" w:hAnsi="Times New Roman"/>
          <w:sz w:val="24"/>
          <w:szCs w:val="24"/>
        </w:rPr>
        <w:t xml:space="preserve"> </w:t>
      </w:r>
      <w:r w:rsidR="00611C73">
        <w:rPr>
          <w:rFonts w:ascii="Times New Roman" w:hAnsi="Times New Roman"/>
          <w:sz w:val="24"/>
          <w:szCs w:val="24"/>
        </w:rPr>
        <w:t>не є від’ємним</w:t>
      </w:r>
      <w:r>
        <w:rPr>
          <w:rFonts w:ascii="Times New Roman" w:hAnsi="Times New Roman"/>
          <w:sz w:val="24"/>
          <w:szCs w:val="24"/>
        </w:rPr>
        <w:t>).</w:t>
      </w:r>
    </w:p>
    <w:p w14:paraId="0F3334AE" w14:textId="79EBBEFC" w:rsidR="001E31FC" w:rsidRPr="00581C02" w:rsidRDefault="001E31FC" w:rsidP="001E31FC">
      <w:pPr>
        <w:tabs>
          <w:tab w:val="left" w:pos="709"/>
        </w:tabs>
        <w:spacing w:after="120" w:line="240" w:lineRule="auto"/>
        <w:ind w:firstLine="709"/>
        <w:jc w:val="both"/>
        <w:rPr>
          <w:rFonts w:ascii="Times New Roman" w:hAnsi="Times New Roman"/>
          <w:sz w:val="24"/>
          <w:szCs w:val="24"/>
        </w:rPr>
      </w:pPr>
      <w:r>
        <w:rPr>
          <w:rFonts w:ascii="Times New Roman" w:hAnsi="Times New Roman"/>
          <w:sz w:val="24"/>
          <w:szCs w:val="24"/>
        </w:rPr>
        <w:t>При цьому,</w:t>
      </w:r>
      <w:r w:rsidRPr="00581C02">
        <w:rPr>
          <w:rFonts w:ascii="Times New Roman" w:hAnsi="Times New Roman"/>
          <w:sz w:val="24"/>
          <w:szCs w:val="24"/>
        </w:rPr>
        <w:t xml:space="preserve"> якщо визначений розмір штрафу є більшим за розмір штрафу, який був би визначений за припинення відповідного зобов’язання в попередній операційний день</w:t>
      </w:r>
      <w:r>
        <w:rPr>
          <w:rFonts w:ascii="Times New Roman" w:hAnsi="Times New Roman"/>
          <w:sz w:val="24"/>
          <w:szCs w:val="24"/>
        </w:rPr>
        <w:t>, то</w:t>
      </w:r>
      <w:r w:rsidRPr="00581C02">
        <w:rPr>
          <w:rFonts w:ascii="Times New Roman" w:hAnsi="Times New Roman"/>
          <w:sz w:val="24"/>
          <w:szCs w:val="24"/>
        </w:rPr>
        <w:t xml:space="preserve"> </w:t>
      </w:r>
      <w:r w:rsidR="00066E82">
        <w:rPr>
          <w:rFonts w:ascii="Times New Roman" w:hAnsi="Times New Roman"/>
          <w:sz w:val="24"/>
          <w:szCs w:val="24"/>
        </w:rPr>
        <w:t>з винної сторони</w:t>
      </w:r>
      <w:r w:rsidR="00066E82" w:rsidRPr="00AE2691">
        <w:rPr>
          <w:rFonts w:ascii="Times New Roman" w:hAnsi="Times New Roman"/>
          <w:sz w:val="24"/>
          <w:szCs w:val="24"/>
        </w:rPr>
        <w:t xml:space="preserve"> </w:t>
      </w:r>
      <w:r w:rsidR="00066E82">
        <w:rPr>
          <w:rFonts w:ascii="Times New Roman" w:hAnsi="Times New Roman"/>
          <w:sz w:val="24"/>
          <w:szCs w:val="24"/>
        </w:rPr>
        <w:t>договору РЕПО</w:t>
      </w:r>
      <w:r w:rsidR="00066E82" w:rsidRPr="00AE2691">
        <w:rPr>
          <w:rFonts w:ascii="Times New Roman" w:hAnsi="Times New Roman"/>
          <w:sz w:val="24"/>
          <w:szCs w:val="24"/>
        </w:rPr>
        <w:t xml:space="preserve"> </w:t>
      </w:r>
      <w:r w:rsidR="00066E82">
        <w:rPr>
          <w:rFonts w:ascii="Times New Roman" w:hAnsi="Times New Roman"/>
          <w:sz w:val="24"/>
          <w:szCs w:val="24"/>
        </w:rPr>
        <w:t>стягується та сплачується добросовісній стороні</w:t>
      </w:r>
      <w:r w:rsidR="00066E82" w:rsidRPr="004453D7">
        <w:rPr>
          <w:rFonts w:ascii="Times New Roman" w:hAnsi="Times New Roman"/>
          <w:sz w:val="24"/>
          <w:szCs w:val="24"/>
        </w:rPr>
        <w:t xml:space="preserve"> </w:t>
      </w:r>
      <w:r w:rsidR="00066E82">
        <w:rPr>
          <w:rFonts w:ascii="Times New Roman" w:hAnsi="Times New Roman"/>
          <w:sz w:val="24"/>
          <w:szCs w:val="24"/>
        </w:rPr>
        <w:t>договору РЕПО</w:t>
      </w:r>
      <w:r w:rsidR="00066E82" w:rsidRPr="00581C02">
        <w:rPr>
          <w:rFonts w:ascii="Times New Roman" w:hAnsi="Times New Roman"/>
          <w:sz w:val="24"/>
          <w:szCs w:val="24"/>
        </w:rPr>
        <w:t xml:space="preserve"> </w:t>
      </w:r>
      <w:r w:rsidRPr="00581C02">
        <w:rPr>
          <w:rFonts w:ascii="Times New Roman" w:hAnsi="Times New Roman"/>
          <w:sz w:val="24"/>
          <w:szCs w:val="24"/>
        </w:rPr>
        <w:t>штраф</w:t>
      </w:r>
      <w:r w:rsidR="00066E82">
        <w:rPr>
          <w:rFonts w:ascii="Times New Roman" w:hAnsi="Times New Roman"/>
          <w:sz w:val="24"/>
          <w:szCs w:val="24"/>
        </w:rPr>
        <w:t xml:space="preserve"> у розмірі,</w:t>
      </w:r>
      <w:r w:rsidRPr="00581C02">
        <w:rPr>
          <w:rFonts w:ascii="Times New Roman" w:hAnsi="Times New Roman"/>
          <w:sz w:val="24"/>
          <w:szCs w:val="24"/>
        </w:rPr>
        <w:t xml:space="preserve"> визначен</w:t>
      </w:r>
      <w:r w:rsidR="00066E82">
        <w:rPr>
          <w:rFonts w:ascii="Times New Roman" w:hAnsi="Times New Roman"/>
          <w:sz w:val="24"/>
          <w:szCs w:val="24"/>
        </w:rPr>
        <w:t>ому</w:t>
      </w:r>
      <w:r w:rsidRPr="00581C02">
        <w:rPr>
          <w:rFonts w:ascii="Times New Roman" w:hAnsi="Times New Roman"/>
          <w:sz w:val="24"/>
          <w:szCs w:val="24"/>
        </w:rPr>
        <w:t xml:space="preserve"> для попереднього операційного дня. </w:t>
      </w:r>
    </w:p>
    <w:p w14:paraId="50CF3C49" w14:textId="16A8D37C" w:rsidR="00ED3527" w:rsidRPr="005D1193" w:rsidRDefault="00ED3527"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5.</w:t>
      </w:r>
      <w:r w:rsidR="006C4B26" w:rsidRPr="005D1193">
        <w:rPr>
          <w:rFonts w:ascii="Times New Roman" w:hAnsi="Times New Roman"/>
          <w:sz w:val="24"/>
          <w:szCs w:val="24"/>
        </w:rPr>
        <w:t>5</w:t>
      </w:r>
      <w:r w:rsidRPr="005D1193">
        <w:rPr>
          <w:rFonts w:ascii="Times New Roman" w:hAnsi="Times New Roman"/>
          <w:sz w:val="24"/>
          <w:szCs w:val="24"/>
        </w:rPr>
        <w:t>. Особливості проведення клірингу за договорами</w:t>
      </w:r>
      <w:r w:rsidR="006C4B26" w:rsidRPr="005D1193">
        <w:rPr>
          <w:rFonts w:ascii="Times New Roman" w:hAnsi="Times New Roman"/>
          <w:sz w:val="24"/>
          <w:szCs w:val="24"/>
        </w:rPr>
        <w:t xml:space="preserve"> РЕПО,</w:t>
      </w:r>
      <w:r w:rsidRPr="005D1193">
        <w:rPr>
          <w:rFonts w:ascii="Times New Roman" w:hAnsi="Times New Roman"/>
          <w:sz w:val="24"/>
          <w:szCs w:val="24"/>
        </w:rPr>
        <w:t xml:space="preserve"> укладеними в режимі </w:t>
      </w:r>
      <w:r w:rsidR="00F43030" w:rsidRPr="005D1193">
        <w:rPr>
          <w:rFonts w:ascii="Times New Roman" w:hAnsi="Times New Roman"/>
          <w:sz w:val="24"/>
          <w:szCs w:val="24"/>
        </w:rPr>
        <w:t>«</w:t>
      </w:r>
      <w:r w:rsidRPr="005D1193">
        <w:rPr>
          <w:rFonts w:ascii="Times New Roman" w:hAnsi="Times New Roman"/>
          <w:sz w:val="24"/>
          <w:szCs w:val="24"/>
        </w:rPr>
        <w:t>РЕПО з контролем ризиків</w:t>
      </w:r>
      <w:r w:rsidR="00F43030" w:rsidRPr="005D1193">
        <w:rPr>
          <w:rFonts w:ascii="Times New Roman" w:hAnsi="Times New Roman"/>
          <w:sz w:val="24"/>
          <w:szCs w:val="24"/>
        </w:rPr>
        <w:t>»</w:t>
      </w:r>
      <w:r w:rsidRPr="005D1193">
        <w:rPr>
          <w:rFonts w:ascii="Times New Roman" w:hAnsi="Times New Roman"/>
          <w:sz w:val="24"/>
          <w:szCs w:val="24"/>
        </w:rPr>
        <w:t>.</w:t>
      </w:r>
    </w:p>
    <w:p w14:paraId="39489A1B" w14:textId="5013B57C" w:rsidR="00ED3527" w:rsidRPr="005D1193" w:rsidRDefault="00ED3527"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5.</w:t>
      </w:r>
      <w:r w:rsidR="006C4B26" w:rsidRPr="005D1193">
        <w:rPr>
          <w:rFonts w:ascii="Times New Roman" w:hAnsi="Times New Roman"/>
          <w:sz w:val="24"/>
          <w:szCs w:val="24"/>
        </w:rPr>
        <w:t>5</w:t>
      </w:r>
      <w:r w:rsidRPr="005D1193">
        <w:rPr>
          <w:rFonts w:ascii="Times New Roman" w:hAnsi="Times New Roman"/>
          <w:sz w:val="24"/>
          <w:szCs w:val="24"/>
        </w:rPr>
        <w:t xml:space="preserve">.1. </w:t>
      </w:r>
      <w:r w:rsidR="00806DE3" w:rsidRPr="005D1193">
        <w:rPr>
          <w:rFonts w:ascii="Times New Roman" w:hAnsi="Times New Roman"/>
          <w:sz w:val="24"/>
          <w:szCs w:val="24"/>
        </w:rPr>
        <w:t xml:space="preserve">Кожного операційного дня </w:t>
      </w:r>
      <w:r w:rsidR="00F52DB5" w:rsidRPr="005D1193">
        <w:rPr>
          <w:rFonts w:ascii="Times New Roman" w:hAnsi="Times New Roman"/>
          <w:sz w:val="24"/>
          <w:szCs w:val="24"/>
        </w:rPr>
        <w:t xml:space="preserve">за договорами РЕПО, укладеними в режимі «РЕПО з контролем ризиків», до проведення основної клірингової сесії, </w:t>
      </w:r>
      <w:r w:rsidR="00806DE3" w:rsidRPr="005D1193">
        <w:rPr>
          <w:rFonts w:ascii="Times New Roman" w:hAnsi="Times New Roman"/>
          <w:sz w:val="24"/>
          <w:szCs w:val="24"/>
        </w:rPr>
        <w:t xml:space="preserve">проводяться </w:t>
      </w:r>
      <w:r w:rsidR="00F52DB5" w:rsidRPr="005D1193">
        <w:rPr>
          <w:rFonts w:ascii="Times New Roman" w:hAnsi="Times New Roman"/>
          <w:sz w:val="24"/>
          <w:szCs w:val="24"/>
        </w:rPr>
        <w:t xml:space="preserve">проміжні </w:t>
      </w:r>
      <w:r w:rsidR="00806DE3" w:rsidRPr="005D1193">
        <w:rPr>
          <w:rFonts w:ascii="Times New Roman" w:hAnsi="Times New Roman"/>
          <w:sz w:val="24"/>
          <w:szCs w:val="24"/>
        </w:rPr>
        <w:t xml:space="preserve">клірингові сесії, кількість та час проведення яких встановлюються </w:t>
      </w:r>
      <w:r w:rsidR="006C4B26" w:rsidRPr="005D1193">
        <w:rPr>
          <w:rFonts w:ascii="Times New Roman" w:hAnsi="Times New Roman"/>
          <w:sz w:val="24"/>
          <w:szCs w:val="24"/>
        </w:rPr>
        <w:t>Регламентом провадження клірингової діяльності</w:t>
      </w:r>
      <w:r w:rsidRPr="005D1193">
        <w:rPr>
          <w:rFonts w:ascii="Times New Roman" w:hAnsi="Times New Roman"/>
          <w:sz w:val="24"/>
          <w:szCs w:val="24"/>
        </w:rPr>
        <w:t>.</w:t>
      </w:r>
    </w:p>
    <w:p w14:paraId="314CD2A1" w14:textId="0F64CD56" w:rsidR="00ED3527" w:rsidRPr="005D1193" w:rsidRDefault="00ED3527"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5.</w:t>
      </w:r>
      <w:r w:rsidR="006C4B26" w:rsidRPr="005D1193">
        <w:rPr>
          <w:rFonts w:ascii="Times New Roman" w:hAnsi="Times New Roman"/>
          <w:sz w:val="24"/>
          <w:szCs w:val="24"/>
        </w:rPr>
        <w:t>5</w:t>
      </w:r>
      <w:r w:rsidRPr="005D1193">
        <w:rPr>
          <w:rFonts w:ascii="Times New Roman" w:hAnsi="Times New Roman"/>
          <w:sz w:val="24"/>
          <w:szCs w:val="24"/>
        </w:rPr>
        <w:t xml:space="preserve">.2. Протягом </w:t>
      </w:r>
      <w:r w:rsidR="00F52DB5" w:rsidRPr="005D1193">
        <w:rPr>
          <w:rFonts w:ascii="Times New Roman" w:hAnsi="Times New Roman"/>
          <w:sz w:val="24"/>
          <w:szCs w:val="24"/>
        </w:rPr>
        <w:t>проміжної клірингової</w:t>
      </w:r>
      <w:r w:rsidRPr="005D1193">
        <w:rPr>
          <w:rFonts w:ascii="Times New Roman" w:hAnsi="Times New Roman"/>
          <w:sz w:val="24"/>
          <w:szCs w:val="24"/>
        </w:rPr>
        <w:t xml:space="preserve"> сесії:</w:t>
      </w:r>
    </w:p>
    <w:p w14:paraId="6B3935A4" w14:textId="6A38609C" w:rsidR="00ED3527" w:rsidRPr="005D1193" w:rsidRDefault="006C4B26" w:rsidP="000A39DA">
      <w:pPr>
        <w:pStyle w:val="a5"/>
        <w:numPr>
          <w:ilvl w:val="0"/>
          <w:numId w:val="43"/>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п</w:t>
      </w:r>
      <w:r w:rsidR="00ED3527" w:rsidRPr="005D1193">
        <w:rPr>
          <w:rFonts w:ascii="Times New Roman" w:hAnsi="Times New Roman"/>
          <w:sz w:val="24"/>
          <w:szCs w:val="24"/>
        </w:rPr>
        <w:t>роводяться розрахунки за зобов</w:t>
      </w:r>
      <w:r w:rsidR="005F41FA" w:rsidRPr="005D1193">
        <w:rPr>
          <w:rFonts w:ascii="Times New Roman" w:hAnsi="Times New Roman"/>
          <w:sz w:val="24"/>
          <w:szCs w:val="24"/>
        </w:rPr>
        <w:t>’</w:t>
      </w:r>
      <w:r w:rsidR="00ED3527" w:rsidRPr="005D1193">
        <w:rPr>
          <w:rFonts w:ascii="Times New Roman" w:hAnsi="Times New Roman"/>
          <w:sz w:val="24"/>
          <w:szCs w:val="24"/>
        </w:rPr>
        <w:t>язаннями учасників клірингу дата виконання яких настала;</w:t>
      </w:r>
    </w:p>
    <w:p w14:paraId="0CCBB58A" w14:textId="353B6BBF" w:rsidR="00ED3527" w:rsidRPr="005D1193" w:rsidRDefault="006C4B26" w:rsidP="000A39DA">
      <w:pPr>
        <w:pStyle w:val="a5"/>
        <w:numPr>
          <w:ilvl w:val="0"/>
          <w:numId w:val="43"/>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в</w:t>
      </w:r>
      <w:r w:rsidR="00ED3527" w:rsidRPr="005D1193">
        <w:rPr>
          <w:rFonts w:ascii="Times New Roman" w:hAnsi="Times New Roman"/>
          <w:sz w:val="24"/>
          <w:szCs w:val="24"/>
        </w:rPr>
        <w:t>становлюються зобов</w:t>
      </w:r>
      <w:r w:rsidR="005F41FA" w:rsidRPr="005D1193">
        <w:rPr>
          <w:rFonts w:ascii="Times New Roman" w:hAnsi="Times New Roman"/>
          <w:sz w:val="24"/>
          <w:szCs w:val="24"/>
        </w:rPr>
        <w:t>’</w:t>
      </w:r>
      <w:r w:rsidR="00ED3527" w:rsidRPr="005D1193">
        <w:rPr>
          <w:rFonts w:ascii="Times New Roman" w:hAnsi="Times New Roman"/>
          <w:sz w:val="24"/>
          <w:szCs w:val="24"/>
        </w:rPr>
        <w:t xml:space="preserve">язання учасників клірингу дата виконання яких настала, але які не можуть бути виконані під час </w:t>
      </w:r>
      <w:r w:rsidR="00806DE3" w:rsidRPr="005D1193">
        <w:rPr>
          <w:rFonts w:ascii="Times New Roman" w:hAnsi="Times New Roman"/>
          <w:sz w:val="24"/>
          <w:szCs w:val="24"/>
        </w:rPr>
        <w:t xml:space="preserve">цієї </w:t>
      </w:r>
      <w:r w:rsidR="00516FAE" w:rsidRPr="005D1193">
        <w:rPr>
          <w:rFonts w:ascii="Times New Roman" w:hAnsi="Times New Roman"/>
          <w:sz w:val="24"/>
          <w:szCs w:val="24"/>
        </w:rPr>
        <w:t>клірингової сесії</w:t>
      </w:r>
      <w:r w:rsidR="00ED3527" w:rsidRPr="005D1193">
        <w:rPr>
          <w:rFonts w:ascii="Times New Roman" w:hAnsi="Times New Roman"/>
          <w:sz w:val="24"/>
          <w:szCs w:val="24"/>
        </w:rPr>
        <w:t>;</w:t>
      </w:r>
    </w:p>
    <w:p w14:paraId="127AD2E3" w14:textId="105F4110" w:rsidR="00ED3527" w:rsidRPr="005D1193" w:rsidRDefault="006C4B26" w:rsidP="00F52DB5">
      <w:pPr>
        <w:pStyle w:val="a5"/>
        <w:numPr>
          <w:ilvl w:val="0"/>
          <w:numId w:val="43"/>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п</w:t>
      </w:r>
      <w:r w:rsidR="00ED3527" w:rsidRPr="005D1193">
        <w:rPr>
          <w:rFonts w:ascii="Times New Roman" w:hAnsi="Times New Roman"/>
          <w:sz w:val="24"/>
          <w:szCs w:val="24"/>
        </w:rPr>
        <w:t xml:space="preserve">роводиться перерахунок </w:t>
      </w:r>
      <w:r w:rsidR="00A74122" w:rsidRPr="005D1193">
        <w:rPr>
          <w:rFonts w:ascii="Times New Roman" w:hAnsi="Times New Roman"/>
          <w:sz w:val="24"/>
          <w:szCs w:val="24"/>
        </w:rPr>
        <w:t>В</w:t>
      </w:r>
      <w:r w:rsidR="00386F00" w:rsidRPr="005D1193">
        <w:rPr>
          <w:rFonts w:ascii="Times New Roman" w:hAnsi="Times New Roman"/>
          <w:sz w:val="24"/>
          <w:szCs w:val="24"/>
        </w:rPr>
        <w:t>ільно</w:t>
      </w:r>
      <w:r w:rsidR="00A74122" w:rsidRPr="005D1193">
        <w:rPr>
          <w:rFonts w:ascii="Times New Roman" w:hAnsi="Times New Roman"/>
          <w:sz w:val="24"/>
          <w:szCs w:val="24"/>
        </w:rPr>
        <w:t>го</w:t>
      </w:r>
      <w:r w:rsidR="00386F00" w:rsidRPr="005D1193">
        <w:rPr>
          <w:rFonts w:ascii="Times New Roman" w:hAnsi="Times New Roman"/>
          <w:sz w:val="24"/>
          <w:szCs w:val="24"/>
        </w:rPr>
        <w:t xml:space="preserve"> </w:t>
      </w:r>
      <w:r w:rsidR="00ED3527" w:rsidRPr="005D1193">
        <w:rPr>
          <w:rFonts w:ascii="Times New Roman" w:hAnsi="Times New Roman"/>
          <w:sz w:val="24"/>
          <w:szCs w:val="24"/>
        </w:rPr>
        <w:t>ліміту.</w:t>
      </w:r>
    </w:p>
    <w:p w14:paraId="0CF90D42" w14:textId="483D7EA7" w:rsidR="00ED3527" w:rsidRPr="005D1193" w:rsidRDefault="00ED3527"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5.</w:t>
      </w:r>
      <w:r w:rsidR="006C4B26" w:rsidRPr="005D1193">
        <w:rPr>
          <w:rFonts w:ascii="Times New Roman" w:hAnsi="Times New Roman"/>
          <w:sz w:val="24"/>
          <w:szCs w:val="24"/>
        </w:rPr>
        <w:t>5</w:t>
      </w:r>
      <w:r w:rsidRPr="005D1193">
        <w:rPr>
          <w:rFonts w:ascii="Times New Roman" w:hAnsi="Times New Roman"/>
          <w:sz w:val="24"/>
          <w:szCs w:val="24"/>
        </w:rPr>
        <w:t xml:space="preserve">.3. </w:t>
      </w:r>
      <w:r w:rsidR="00806DE3" w:rsidRPr="005D1193">
        <w:rPr>
          <w:rFonts w:ascii="Times New Roman" w:hAnsi="Times New Roman"/>
          <w:sz w:val="24"/>
          <w:szCs w:val="24"/>
        </w:rPr>
        <w:t xml:space="preserve">Основна </w:t>
      </w:r>
      <w:r w:rsidR="00746AB0" w:rsidRPr="005D1193">
        <w:rPr>
          <w:rFonts w:ascii="Times New Roman" w:hAnsi="Times New Roman"/>
          <w:sz w:val="24"/>
          <w:szCs w:val="24"/>
        </w:rPr>
        <w:t>клірингова сесія за договорами</w:t>
      </w:r>
      <w:r w:rsidR="00B062E7" w:rsidRPr="005D1193">
        <w:rPr>
          <w:rFonts w:ascii="Times New Roman" w:hAnsi="Times New Roman"/>
          <w:sz w:val="24"/>
          <w:szCs w:val="24"/>
        </w:rPr>
        <w:t xml:space="preserve"> РЕПО,</w:t>
      </w:r>
      <w:r w:rsidR="00746AB0" w:rsidRPr="005D1193">
        <w:rPr>
          <w:rFonts w:ascii="Times New Roman" w:hAnsi="Times New Roman"/>
          <w:sz w:val="24"/>
          <w:szCs w:val="24"/>
        </w:rPr>
        <w:t xml:space="preserve"> укладеними в режимі </w:t>
      </w:r>
      <w:r w:rsidR="00F43030" w:rsidRPr="005D1193">
        <w:rPr>
          <w:rFonts w:ascii="Times New Roman" w:hAnsi="Times New Roman"/>
          <w:sz w:val="24"/>
          <w:szCs w:val="24"/>
        </w:rPr>
        <w:t>«</w:t>
      </w:r>
      <w:r w:rsidR="00746AB0" w:rsidRPr="005D1193">
        <w:rPr>
          <w:rFonts w:ascii="Times New Roman" w:hAnsi="Times New Roman"/>
          <w:sz w:val="24"/>
          <w:szCs w:val="24"/>
        </w:rPr>
        <w:t>РЕПО з контролем ризиків</w:t>
      </w:r>
      <w:r w:rsidR="00F43030" w:rsidRPr="005D1193">
        <w:rPr>
          <w:rFonts w:ascii="Times New Roman" w:hAnsi="Times New Roman"/>
          <w:sz w:val="24"/>
          <w:szCs w:val="24"/>
        </w:rPr>
        <w:t>»</w:t>
      </w:r>
      <w:r w:rsidR="00B062E7" w:rsidRPr="005D1193">
        <w:rPr>
          <w:rFonts w:ascii="Times New Roman" w:hAnsi="Times New Roman"/>
          <w:sz w:val="24"/>
          <w:szCs w:val="24"/>
        </w:rPr>
        <w:t>,</w:t>
      </w:r>
      <w:r w:rsidR="00746AB0" w:rsidRPr="005D1193">
        <w:rPr>
          <w:rFonts w:ascii="Times New Roman" w:hAnsi="Times New Roman"/>
          <w:sz w:val="24"/>
          <w:szCs w:val="24"/>
        </w:rPr>
        <w:t xml:space="preserve"> проводиться кожного операційного дня</w:t>
      </w:r>
      <w:r w:rsidRPr="005D1193">
        <w:rPr>
          <w:rFonts w:ascii="Times New Roman" w:hAnsi="Times New Roman"/>
          <w:sz w:val="24"/>
          <w:szCs w:val="24"/>
        </w:rPr>
        <w:t xml:space="preserve">. Час проведення </w:t>
      </w:r>
      <w:r w:rsidR="00806DE3" w:rsidRPr="005D1193">
        <w:rPr>
          <w:rFonts w:ascii="Times New Roman" w:hAnsi="Times New Roman"/>
          <w:sz w:val="24"/>
          <w:szCs w:val="24"/>
        </w:rPr>
        <w:t xml:space="preserve">основної </w:t>
      </w:r>
      <w:r w:rsidRPr="005D1193">
        <w:rPr>
          <w:rFonts w:ascii="Times New Roman" w:hAnsi="Times New Roman"/>
          <w:sz w:val="24"/>
          <w:szCs w:val="24"/>
        </w:rPr>
        <w:t xml:space="preserve">клірингової сесії встановлюється </w:t>
      </w:r>
      <w:r w:rsidR="00386F00" w:rsidRPr="005D1193">
        <w:rPr>
          <w:rFonts w:ascii="Times New Roman" w:hAnsi="Times New Roman"/>
          <w:sz w:val="24"/>
          <w:szCs w:val="24"/>
        </w:rPr>
        <w:t>Регламентом провадження клірингової діяльності</w:t>
      </w:r>
      <w:r w:rsidRPr="005D1193">
        <w:rPr>
          <w:rFonts w:ascii="Times New Roman" w:hAnsi="Times New Roman"/>
          <w:sz w:val="24"/>
          <w:szCs w:val="24"/>
        </w:rPr>
        <w:t>.</w:t>
      </w:r>
    </w:p>
    <w:p w14:paraId="497E58B2" w14:textId="374E1C74" w:rsidR="00ED3527" w:rsidRPr="005D1193" w:rsidRDefault="00ED3527" w:rsidP="000A39DA">
      <w:pPr>
        <w:tabs>
          <w:tab w:val="left" w:pos="993"/>
          <w:tab w:val="left" w:pos="1134"/>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hAnsi="Times New Roman"/>
          <w:sz w:val="24"/>
          <w:szCs w:val="24"/>
        </w:rPr>
        <w:t>5.</w:t>
      </w:r>
      <w:r w:rsidR="006C4B26" w:rsidRPr="005D1193">
        <w:rPr>
          <w:rFonts w:ascii="Times New Roman" w:hAnsi="Times New Roman"/>
          <w:sz w:val="24"/>
          <w:szCs w:val="24"/>
        </w:rPr>
        <w:t>5</w:t>
      </w:r>
      <w:r w:rsidRPr="005D1193">
        <w:rPr>
          <w:rFonts w:ascii="Times New Roman" w:hAnsi="Times New Roman"/>
          <w:sz w:val="24"/>
          <w:szCs w:val="24"/>
        </w:rPr>
        <w:t xml:space="preserve">.4. Протягом </w:t>
      </w:r>
      <w:r w:rsidR="00806DE3" w:rsidRPr="005D1193">
        <w:rPr>
          <w:rFonts w:ascii="Times New Roman" w:hAnsi="Times New Roman"/>
          <w:sz w:val="24"/>
          <w:szCs w:val="24"/>
        </w:rPr>
        <w:t xml:space="preserve">основної </w:t>
      </w:r>
      <w:r w:rsidRPr="005D1193">
        <w:rPr>
          <w:rFonts w:ascii="Times New Roman" w:hAnsi="Times New Roman"/>
          <w:sz w:val="24"/>
          <w:szCs w:val="24"/>
        </w:rPr>
        <w:t>клірингової сесії:</w:t>
      </w:r>
    </w:p>
    <w:p w14:paraId="0F1D7597" w14:textId="02605ECF" w:rsidR="00ED3527" w:rsidRPr="005D1193" w:rsidRDefault="00B062E7" w:rsidP="000A39DA">
      <w:pPr>
        <w:pStyle w:val="a5"/>
        <w:numPr>
          <w:ilvl w:val="0"/>
          <w:numId w:val="43"/>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п</w:t>
      </w:r>
      <w:r w:rsidR="00ED3527" w:rsidRPr="005D1193">
        <w:rPr>
          <w:rFonts w:ascii="Times New Roman" w:hAnsi="Times New Roman"/>
          <w:sz w:val="24"/>
          <w:szCs w:val="24"/>
        </w:rPr>
        <w:t>роводяться розрахунки за зобов</w:t>
      </w:r>
      <w:r w:rsidR="005F41FA" w:rsidRPr="005D1193">
        <w:rPr>
          <w:rFonts w:ascii="Times New Roman" w:hAnsi="Times New Roman"/>
          <w:sz w:val="24"/>
          <w:szCs w:val="24"/>
        </w:rPr>
        <w:t>’</w:t>
      </w:r>
      <w:r w:rsidR="00ED3527" w:rsidRPr="005D1193">
        <w:rPr>
          <w:rFonts w:ascii="Times New Roman" w:hAnsi="Times New Roman"/>
          <w:sz w:val="24"/>
          <w:szCs w:val="24"/>
        </w:rPr>
        <w:t>язаннями учасників</w:t>
      </w:r>
      <w:r w:rsidR="00516FAE" w:rsidRPr="005D1193">
        <w:rPr>
          <w:rFonts w:ascii="Times New Roman" w:hAnsi="Times New Roman"/>
          <w:sz w:val="24"/>
          <w:szCs w:val="24"/>
        </w:rPr>
        <w:t xml:space="preserve">, які не були розраховані під час </w:t>
      </w:r>
      <w:r w:rsidR="00F52DB5" w:rsidRPr="005D1193">
        <w:rPr>
          <w:rFonts w:ascii="Times New Roman" w:hAnsi="Times New Roman"/>
          <w:sz w:val="24"/>
          <w:szCs w:val="24"/>
        </w:rPr>
        <w:t>проміжних</w:t>
      </w:r>
      <w:r w:rsidR="00806DE3" w:rsidRPr="005D1193">
        <w:rPr>
          <w:rFonts w:ascii="Times New Roman" w:hAnsi="Times New Roman"/>
          <w:sz w:val="24"/>
          <w:szCs w:val="24"/>
        </w:rPr>
        <w:t xml:space="preserve"> </w:t>
      </w:r>
      <w:r w:rsidR="00516FAE" w:rsidRPr="005D1193">
        <w:rPr>
          <w:rFonts w:ascii="Times New Roman" w:hAnsi="Times New Roman"/>
          <w:sz w:val="24"/>
          <w:szCs w:val="24"/>
        </w:rPr>
        <w:t>клірингов</w:t>
      </w:r>
      <w:r w:rsidR="00806DE3" w:rsidRPr="005D1193">
        <w:rPr>
          <w:rFonts w:ascii="Times New Roman" w:hAnsi="Times New Roman"/>
          <w:sz w:val="24"/>
          <w:szCs w:val="24"/>
        </w:rPr>
        <w:t>их</w:t>
      </w:r>
      <w:r w:rsidR="00516FAE" w:rsidRPr="005D1193">
        <w:rPr>
          <w:rFonts w:ascii="Times New Roman" w:hAnsi="Times New Roman"/>
          <w:sz w:val="24"/>
          <w:szCs w:val="24"/>
        </w:rPr>
        <w:t xml:space="preserve"> сесі</w:t>
      </w:r>
      <w:r w:rsidR="00806DE3" w:rsidRPr="005D1193">
        <w:rPr>
          <w:rFonts w:ascii="Times New Roman" w:hAnsi="Times New Roman"/>
          <w:sz w:val="24"/>
          <w:szCs w:val="24"/>
        </w:rPr>
        <w:t>й</w:t>
      </w:r>
      <w:r w:rsidR="00516FAE" w:rsidRPr="005D1193">
        <w:rPr>
          <w:rFonts w:ascii="Times New Roman" w:hAnsi="Times New Roman"/>
          <w:sz w:val="24"/>
          <w:szCs w:val="24"/>
        </w:rPr>
        <w:t xml:space="preserve"> або виникли після </w:t>
      </w:r>
      <w:r w:rsidR="009217EB" w:rsidRPr="005D1193">
        <w:rPr>
          <w:rFonts w:ascii="Times New Roman" w:hAnsi="Times New Roman"/>
          <w:sz w:val="24"/>
          <w:szCs w:val="24"/>
        </w:rPr>
        <w:t xml:space="preserve">початку </w:t>
      </w:r>
      <w:r w:rsidR="00806DE3" w:rsidRPr="005D1193">
        <w:rPr>
          <w:rFonts w:ascii="Times New Roman" w:hAnsi="Times New Roman"/>
          <w:sz w:val="24"/>
          <w:szCs w:val="24"/>
        </w:rPr>
        <w:t xml:space="preserve">попередньої </w:t>
      </w:r>
      <w:r w:rsidR="00F52DB5" w:rsidRPr="005D1193">
        <w:rPr>
          <w:rFonts w:ascii="Times New Roman" w:hAnsi="Times New Roman"/>
          <w:sz w:val="24"/>
          <w:szCs w:val="24"/>
        </w:rPr>
        <w:t xml:space="preserve">проміжної </w:t>
      </w:r>
      <w:r w:rsidR="00516FAE" w:rsidRPr="005D1193">
        <w:rPr>
          <w:rFonts w:ascii="Times New Roman" w:hAnsi="Times New Roman"/>
          <w:sz w:val="24"/>
          <w:szCs w:val="24"/>
        </w:rPr>
        <w:t>клірингової сесії</w:t>
      </w:r>
      <w:r w:rsidR="002A47B2" w:rsidRPr="005D1193">
        <w:rPr>
          <w:rFonts w:ascii="Times New Roman" w:hAnsi="Times New Roman"/>
          <w:sz w:val="24"/>
          <w:szCs w:val="24"/>
        </w:rPr>
        <w:t>,</w:t>
      </w:r>
      <w:r w:rsidR="00ED3527" w:rsidRPr="005D1193">
        <w:rPr>
          <w:rFonts w:ascii="Times New Roman" w:hAnsi="Times New Roman"/>
          <w:sz w:val="24"/>
          <w:szCs w:val="24"/>
        </w:rPr>
        <w:t xml:space="preserve"> дата виконання яких настала;</w:t>
      </w:r>
    </w:p>
    <w:p w14:paraId="086BC688" w14:textId="77777777" w:rsidR="00BA04B1" w:rsidRPr="005D1193" w:rsidRDefault="00BA04B1" w:rsidP="00BA04B1">
      <w:pPr>
        <w:pStyle w:val="a5"/>
        <w:numPr>
          <w:ilvl w:val="0"/>
          <w:numId w:val="43"/>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встановлюються факти невиконання маржинальної вимоги;</w:t>
      </w:r>
    </w:p>
    <w:p w14:paraId="7834DBEC" w14:textId="36676491" w:rsidR="00746AB0" w:rsidRPr="005D1193" w:rsidRDefault="00B062E7" w:rsidP="000A39DA">
      <w:pPr>
        <w:pStyle w:val="a5"/>
        <w:numPr>
          <w:ilvl w:val="0"/>
          <w:numId w:val="43"/>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п</w:t>
      </w:r>
      <w:r w:rsidR="00746AB0" w:rsidRPr="005D1193">
        <w:rPr>
          <w:rFonts w:ascii="Times New Roman" w:hAnsi="Times New Roman"/>
          <w:sz w:val="24"/>
          <w:szCs w:val="24"/>
        </w:rPr>
        <w:t xml:space="preserve">роводиться </w:t>
      </w:r>
      <w:r w:rsidR="00DE566F" w:rsidRPr="005D1193">
        <w:rPr>
          <w:rFonts w:ascii="Times New Roman" w:hAnsi="Times New Roman"/>
          <w:sz w:val="24"/>
          <w:szCs w:val="24"/>
        </w:rPr>
        <w:t xml:space="preserve">процедура примусового </w:t>
      </w:r>
      <w:r w:rsidR="00746AB0" w:rsidRPr="005D1193">
        <w:rPr>
          <w:rFonts w:ascii="Times New Roman" w:hAnsi="Times New Roman"/>
          <w:sz w:val="24"/>
          <w:szCs w:val="24"/>
        </w:rPr>
        <w:t>припинення зобов</w:t>
      </w:r>
      <w:r w:rsidR="005F41FA" w:rsidRPr="005D1193">
        <w:rPr>
          <w:rFonts w:ascii="Times New Roman" w:hAnsi="Times New Roman"/>
          <w:sz w:val="24"/>
          <w:szCs w:val="24"/>
        </w:rPr>
        <w:t>’</w:t>
      </w:r>
      <w:r w:rsidR="00746AB0" w:rsidRPr="005D1193">
        <w:rPr>
          <w:rFonts w:ascii="Times New Roman" w:hAnsi="Times New Roman"/>
          <w:sz w:val="24"/>
          <w:szCs w:val="24"/>
        </w:rPr>
        <w:t>язань учасників клірингу</w:t>
      </w:r>
      <w:r w:rsidR="00644100" w:rsidRPr="005D1193">
        <w:rPr>
          <w:rFonts w:ascii="Times New Roman" w:hAnsi="Times New Roman"/>
          <w:sz w:val="24"/>
          <w:szCs w:val="24"/>
        </w:rPr>
        <w:t xml:space="preserve"> та/або </w:t>
      </w:r>
      <w:r w:rsidR="00644100" w:rsidRPr="005D1193">
        <w:rPr>
          <w:rFonts w:ascii="Times New Roman" w:eastAsia="TimesNewRoman" w:hAnsi="Times New Roman"/>
          <w:sz w:val="24"/>
          <w:szCs w:val="24"/>
          <w:lang w:eastAsia="ru-RU"/>
        </w:rPr>
        <w:t>процедура ліквідаційного неттінгу</w:t>
      </w:r>
      <w:r w:rsidR="00746AB0" w:rsidRPr="005D1193">
        <w:rPr>
          <w:rFonts w:ascii="Times New Roman" w:hAnsi="Times New Roman"/>
          <w:sz w:val="24"/>
          <w:szCs w:val="24"/>
        </w:rPr>
        <w:t>;</w:t>
      </w:r>
    </w:p>
    <w:p w14:paraId="1EE5E42C" w14:textId="7D954DED" w:rsidR="00ED3527" w:rsidRPr="005D1193" w:rsidRDefault="00B062E7" w:rsidP="000A39DA">
      <w:pPr>
        <w:pStyle w:val="a5"/>
        <w:numPr>
          <w:ilvl w:val="0"/>
          <w:numId w:val="43"/>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п</w:t>
      </w:r>
      <w:r w:rsidR="00ED3527" w:rsidRPr="005D1193">
        <w:rPr>
          <w:rFonts w:ascii="Times New Roman" w:hAnsi="Times New Roman"/>
          <w:sz w:val="24"/>
          <w:szCs w:val="24"/>
        </w:rPr>
        <w:t xml:space="preserve">роводиться списання з </w:t>
      </w:r>
      <w:r w:rsidRPr="005D1193">
        <w:rPr>
          <w:rFonts w:ascii="Times New Roman" w:hAnsi="Times New Roman"/>
          <w:sz w:val="24"/>
          <w:szCs w:val="24"/>
        </w:rPr>
        <w:t xml:space="preserve">гарантійного </w:t>
      </w:r>
      <w:r w:rsidR="00ED3527" w:rsidRPr="005D1193">
        <w:rPr>
          <w:rFonts w:ascii="Times New Roman" w:hAnsi="Times New Roman"/>
          <w:sz w:val="24"/>
          <w:szCs w:val="24"/>
        </w:rPr>
        <w:t xml:space="preserve">забезпечення </w:t>
      </w:r>
      <w:r w:rsidR="00725172" w:rsidRPr="005D1193">
        <w:rPr>
          <w:rFonts w:ascii="Times New Roman" w:hAnsi="Times New Roman"/>
          <w:sz w:val="24"/>
          <w:szCs w:val="24"/>
        </w:rPr>
        <w:t>учасників клірингу, які</w:t>
      </w:r>
      <w:r w:rsidR="00D30330" w:rsidRPr="005D1193">
        <w:rPr>
          <w:rFonts w:ascii="Times New Roman" w:hAnsi="Times New Roman"/>
          <w:sz w:val="24"/>
          <w:szCs w:val="24"/>
        </w:rPr>
        <w:t xml:space="preserve"> є винними сторонами договорів РЕПО</w:t>
      </w:r>
      <w:r w:rsidR="00ED3527" w:rsidRPr="005D1193">
        <w:rPr>
          <w:rFonts w:ascii="Times New Roman" w:hAnsi="Times New Roman"/>
          <w:sz w:val="24"/>
          <w:szCs w:val="24"/>
        </w:rPr>
        <w:t xml:space="preserve">, </w:t>
      </w:r>
      <w:r w:rsidR="00725172" w:rsidRPr="005D1193">
        <w:rPr>
          <w:rFonts w:ascii="Times New Roman" w:hAnsi="Times New Roman"/>
          <w:sz w:val="24"/>
          <w:szCs w:val="24"/>
        </w:rPr>
        <w:t xml:space="preserve">активів </w:t>
      </w:r>
      <w:r w:rsidR="009F1A63" w:rsidRPr="005D1193">
        <w:rPr>
          <w:rFonts w:ascii="Times New Roman" w:hAnsi="Times New Roman"/>
          <w:sz w:val="24"/>
          <w:szCs w:val="24"/>
        </w:rPr>
        <w:t>в якості штрафу</w:t>
      </w:r>
      <w:r w:rsidR="00ED3527" w:rsidRPr="005D1193">
        <w:rPr>
          <w:rFonts w:ascii="Times New Roman" w:hAnsi="Times New Roman"/>
          <w:sz w:val="24"/>
          <w:szCs w:val="24"/>
        </w:rPr>
        <w:t>;</w:t>
      </w:r>
      <w:r w:rsidR="00725172" w:rsidRPr="005D1193">
        <w:rPr>
          <w:rFonts w:ascii="Times New Roman" w:hAnsi="Times New Roman"/>
          <w:sz w:val="24"/>
          <w:szCs w:val="24"/>
        </w:rPr>
        <w:t xml:space="preserve"> </w:t>
      </w:r>
    </w:p>
    <w:p w14:paraId="746F3423" w14:textId="67BD8D37" w:rsidR="00C1277A" w:rsidRPr="005D1193" w:rsidRDefault="00C1277A" w:rsidP="000A39DA">
      <w:pPr>
        <w:pStyle w:val="a5"/>
        <w:numPr>
          <w:ilvl w:val="0"/>
          <w:numId w:val="43"/>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 xml:space="preserve">Розрахунковий центр сплачує штраф учасникам клірингу, </w:t>
      </w:r>
      <w:r w:rsidR="00FA074E" w:rsidRPr="005D1193">
        <w:rPr>
          <w:rFonts w:ascii="Times New Roman" w:hAnsi="Times New Roman"/>
          <w:sz w:val="24"/>
          <w:szCs w:val="24"/>
        </w:rPr>
        <w:t xml:space="preserve">які є добросовісними сторонами договорів РЕПО і </w:t>
      </w:r>
      <w:r w:rsidRPr="005D1193">
        <w:rPr>
          <w:rFonts w:ascii="Times New Roman" w:hAnsi="Times New Roman"/>
          <w:sz w:val="24"/>
          <w:szCs w:val="24"/>
        </w:rPr>
        <w:t>зобов</w:t>
      </w:r>
      <w:r w:rsidR="005F41FA" w:rsidRPr="005D1193">
        <w:rPr>
          <w:rFonts w:ascii="Times New Roman" w:hAnsi="Times New Roman"/>
          <w:sz w:val="24"/>
          <w:szCs w:val="24"/>
        </w:rPr>
        <w:t>’</w:t>
      </w:r>
      <w:r w:rsidR="009F1A63" w:rsidRPr="005D1193">
        <w:rPr>
          <w:rFonts w:ascii="Times New Roman" w:hAnsi="Times New Roman"/>
          <w:sz w:val="24"/>
          <w:szCs w:val="24"/>
        </w:rPr>
        <w:t>я</w:t>
      </w:r>
      <w:r w:rsidRPr="005D1193">
        <w:rPr>
          <w:rFonts w:ascii="Times New Roman" w:hAnsi="Times New Roman"/>
          <w:sz w:val="24"/>
          <w:szCs w:val="24"/>
        </w:rPr>
        <w:t xml:space="preserve">зання яких були припинені в результаті </w:t>
      </w:r>
      <w:r w:rsidR="009F1A63" w:rsidRPr="005D1193">
        <w:rPr>
          <w:rFonts w:ascii="Times New Roman" w:hAnsi="Times New Roman"/>
          <w:sz w:val="24"/>
          <w:szCs w:val="24"/>
        </w:rPr>
        <w:t>процедури</w:t>
      </w:r>
      <w:r w:rsidR="005754EA" w:rsidRPr="005D1193">
        <w:rPr>
          <w:rFonts w:ascii="Times New Roman" w:hAnsi="Times New Roman"/>
          <w:sz w:val="24"/>
          <w:szCs w:val="24"/>
        </w:rPr>
        <w:t xml:space="preserve"> </w:t>
      </w:r>
      <w:r w:rsidR="005754EA" w:rsidRPr="005D1193">
        <w:rPr>
          <w:rFonts w:ascii="Times New Roman" w:eastAsia="TimesNewRoman" w:hAnsi="Times New Roman"/>
          <w:sz w:val="24"/>
          <w:szCs w:val="24"/>
          <w:lang w:eastAsia="ru-RU"/>
        </w:rPr>
        <w:t>примусового припинення зобов</w:t>
      </w:r>
      <w:r w:rsidR="005F41FA" w:rsidRPr="005D1193">
        <w:rPr>
          <w:rFonts w:ascii="Times New Roman" w:eastAsia="TimesNewRoman" w:hAnsi="Times New Roman"/>
          <w:sz w:val="24"/>
          <w:szCs w:val="24"/>
          <w:lang w:eastAsia="ru-RU"/>
        </w:rPr>
        <w:t>’</w:t>
      </w:r>
      <w:r w:rsidR="005754EA" w:rsidRPr="005D1193">
        <w:rPr>
          <w:rFonts w:ascii="Times New Roman" w:eastAsia="TimesNewRoman" w:hAnsi="Times New Roman"/>
          <w:sz w:val="24"/>
          <w:szCs w:val="24"/>
          <w:lang w:eastAsia="ru-RU"/>
        </w:rPr>
        <w:t>язань</w:t>
      </w:r>
      <w:r w:rsidR="003E325F" w:rsidRPr="005D1193">
        <w:rPr>
          <w:rFonts w:ascii="Times New Roman" w:hAnsi="Times New Roman"/>
          <w:sz w:val="24"/>
          <w:szCs w:val="24"/>
        </w:rPr>
        <w:t xml:space="preserve"> та/або </w:t>
      </w:r>
      <w:r w:rsidR="003E325F" w:rsidRPr="005D1193">
        <w:rPr>
          <w:rFonts w:ascii="Times New Roman" w:eastAsia="TimesNewRoman" w:hAnsi="Times New Roman"/>
          <w:sz w:val="24"/>
          <w:szCs w:val="24"/>
          <w:lang w:eastAsia="ru-RU"/>
        </w:rPr>
        <w:t>процедури ліквідаційного неттінгу</w:t>
      </w:r>
      <w:r w:rsidR="005754EA" w:rsidRPr="005D1193">
        <w:rPr>
          <w:rFonts w:ascii="Times New Roman" w:eastAsia="TimesNewRoman" w:hAnsi="Times New Roman"/>
          <w:sz w:val="24"/>
          <w:szCs w:val="24"/>
          <w:lang w:eastAsia="ru-RU"/>
        </w:rPr>
        <w:t>;</w:t>
      </w:r>
    </w:p>
    <w:p w14:paraId="69301FD8" w14:textId="63AEB619" w:rsidR="00ED3527" w:rsidRPr="005D1193" w:rsidRDefault="00B062E7" w:rsidP="000A39DA">
      <w:pPr>
        <w:pStyle w:val="a5"/>
        <w:numPr>
          <w:ilvl w:val="0"/>
          <w:numId w:val="43"/>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п</w:t>
      </w:r>
      <w:r w:rsidR="00ED3527" w:rsidRPr="005D1193">
        <w:rPr>
          <w:rFonts w:ascii="Times New Roman" w:hAnsi="Times New Roman"/>
          <w:sz w:val="24"/>
          <w:szCs w:val="24"/>
        </w:rPr>
        <w:t xml:space="preserve">роводиться перерахунок </w:t>
      </w:r>
      <w:r w:rsidR="00A74122" w:rsidRPr="005D1193">
        <w:rPr>
          <w:rFonts w:ascii="Times New Roman" w:hAnsi="Times New Roman"/>
          <w:sz w:val="24"/>
          <w:szCs w:val="24"/>
        </w:rPr>
        <w:t>Є</w:t>
      </w:r>
      <w:r w:rsidR="00ED3527" w:rsidRPr="005D1193">
        <w:rPr>
          <w:rFonts w:ascii="Times New Roman" w:hAnsi="Times New Roman"/>
          <w:sz w:val="24"/>
          <w:szCs w:val="24"/>
        </w:rPr>
        <w:t xml:space="preserve">диного </w:t>
      </w:r>
      <w:r w:rsidR="00A74122" w:rsidRPr="005D1193">
        <w:rPr>
          <w:rFonts w:ascii="Times New Roman" w:hAnsi="Times New Roman"/>
          <w:sz w:val="24"/>
          <w:szCs w:val="24"/>
        </w:rPr>
        <w:t xml:space="preserve">та Вільного </w:t>
      </w:r>
      <w:r w:rsidR="00ED3527" w:rsidRPr="005D1193">
        <w:rPr>
          <w:rFonts w:ascii="Times New Roman" w:hAnsi="Times New Roman"/>
          <w:sz w:val="24"/>
          <w:szCs w:val="24"/>
        </w:rPr>
        <w:t>ліміт</w:t>
      </w:r>
      <w:r w:rsidR="00A74122" w:rsidRPr="005D1193">
        <w:rPr>
          <w:rFonts w:ascii="Times New Roman" w:hAnsi="Times New Roman"/>
          <w:sz w:val="24"/>
          <w:szCs w:val="24"/>
        </w:rPr>
        <w:t>ів</w:t>
      </w:r>
      <w:r w:rsidR="00ED3527" w:rsidRPr="005D1193">
        <w:rPr>
          <w:rFonts w:ascii="Times New Roman" w:hAnsi="Times New Roman"/>
          <w:sz w:val="24"/>
          <w:szCs w:val="24"/>
        </w:rPr>
        <w:t>;</w:t>
      </w:r>
    </w:p>
    <w:p w14:paraId="7642887E" w14:textId="4E26B2AE" w:rsidR="00ED3527" w:rsidRPr="005D1193" w:rsidRDefault="00B062E7" w:rsidP="000A39DA">
      <w:pPr>
        <w:pStyle w:val="a5"/>
        <w:numPr>
          <w:ilvl w:val="0"/>
          <w:numId w:val="43"/>
        </w:numPr>
        <w:tabs>
          <w:tab w:val="left" w:pos="993"/>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ф</w:t>
      </w:r>
      <w:r w:rsidR="00ED3527" w:rsidRPr="005D1193">
        <w:rPr>
          <w:rFonts w:ascii="Times New Roman" w:hAnsi="Times New Roman"/>
          <w:sz w:val="24"/>
          <w:szCs w:val="24"/>
        </w:rPr>
        <w:t>ормуються звіти за результатами кліринг</w:t>
      </w:r>
      <w:r w:rsidR="00806DE3" w:rsidRPr="005D1193">
        <w:rPr>
          <w:rFonts w:ascii="Times New Roman" w:hAnsi="Times New Roman"/>
          <w:sz w:val="24"/>
          <w:szCs w:val="24"/>
        </w:rPr>
        <w:t>у</w:t>
      </w:r>
      <w:r w:rsidR="00ED3527" w:rsidRPr="005D1193">
        <w:rPr>
          <w:rFonts w:ascii="Times New Roman" w:hAnsi="Times New Roman"/>
          <w:sz w:val="24"/>
          <w:szCs w:val="24"/>
        </w:rPr>
        <w:t>.</w:t>
      </w:r>
    </w:p>
    <w:p w14:paraId="48D2325D" w14:textId="6DDF650C" w:rsidR="005A57FF" w:rsidRPr="005D1193" w:rsidRDefault="005A57FF" w:rsidP="000A39DA">
      <w:pPr>
        <w:tabs>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 xml:space="preserve">5.6. </w:t>
      </w:r>
      <w:r w:rsidRPr="005D1193">
        <w:rPr>
          <w:rFonts w:ascii="Times New Roman" w:hAnsi="Times New Roman"/>
          <w:sz w:val="24"/>
          <w:szCs w:val="24"/>
        </w:rPr>
        <w:t>Особливості застосування процедур примусового припинення зобов</w:t>
      </w:r>
      <w:r w:rsidR="005F41FA" w:rsidRPr="005D1193">
        <w:rPr>
          <w:rFonts w:ascii="Times New Roman" w:hAnsi="Times New Roman"/>
          <w:sz w:val="24"/>
          <w:szCs w:val="24"/>
        </w:rPr>
        <w:t>’</w:t>
      </w:r>
      <w:r w:rsidRPr="005D1193">
        <w:rPr>
          <w:rFonts w:ascii="Times New Roman" w:hAnsi="Times New Roman"/>
          <w:sz w:val="24"/>
          <w:szCs w:val="24"/>
        </w:rPr>
        <w:t>язань та ліквідаційного неттінгу за договорами РЕПО</w:t>
      </w:r>
      <w:r w:rsidR="00F4523B" w:rsidRPr="005D1193">
        <w:rPr>
          <w:rFonts w:ascii="Times New Roman" w:hAnsi="Times New Roman"/>
          <w:sz w:val="24"/>
          <w:szCs w:val="24"/>
        </w:rPr>
        <w:t xml:space="preserve">, укладеними в режимі </w:t>
      </w:r>
      <w:r w:rsidR="00F43030" w:rsidRPr="005D1193">
        <w:rPr>
          <w:rFonts w:ascii="Times New Roman" w:hAnsi="Times New Roman"/>
          <w:sz w:val="24"/>
          <w:szCs w:val="24"/>
        </w:rPr>
        <w:t>«</w:t>
      </w:r>
      <w:r w:rsidR="00F4523B" w:rsidRPr="005D1193">
        <w:rPr>
          <w:rFonts w:ascii="Times New Roman" w:hAnsi="Times New Roman"/>
          <w:sz w:val="24"/>
          <w:szCs w:val="24"/>
        </w:rPr>
        <w:t>РЕПО з контролем ризиків</w:t>
      </w:r>
      <w:r w:rsidR="00F43030" w:rsidRPr="005D1193">
        <w:rPr>
          <w:rFonts w:ascii="Times New Roman" w:hAnsi="Times New Roman"/>
          <w:sz w:val="24"/>
          <w:szCs w:val="24"/>
        </w:rPr>
        <w:t>»</w:t>
      </w:r>
      <w:r w:rsidR="00F4523B" w:rsidRPr="005D1193">
        <w:rPr>
          <w:rFonts w:ascii="Times New Roman" w:hAnsi="Times New Roman"/>
          <w:sz w:val="24"/>
          <w:szCs w:val="24"/>
        </w:rPr>
        <w:t>.</w:t>
      </w:r>
    </w:p>
    <w:p w14:paraId="5EB6C161" w14:textId="2E34770B" w:rsidR="00E70272" w:rsidRPr="005D1193" w:rsidRDefault="00320C9B" w:rsidP="000A39DA">
      <w:pPr>
        <w:tabs>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5</w:t>
      </w:r>
      <w:r w:rsidR="002E36AE" w:rsidRPr="005D1193">
        <w:rPr>
          <w:rFonts w:ascii="Times New Roman" w:eastAsia="TimesNewRoman" w:hAnsi="Times New Roman"/>
          <w:sz w:val="24"/>
          <w:szCs w:val="24"/>
          <w:lang w:eastAsia="ru-RU"/>
        </w:rPr>
        <w:t>.</w:t>
      </w:r>
      <w:r w:rsidR="008A2641" w:rsidRPr="005D1193">
        <w:rPr>
          <w:rFonts w:ascii="Times New Roman" w:eastAsia="TimesNewRoman" w:hAnsi="Times New Roman"/>
          <w:sz w:val="24"/>
          <w:szCs w:val="24"/>
          <w:lang w:eastAsia="ru-RU"/>
        </w:rPr>
        <w:t>6</w:t>
      </w:r>
      <w:r w:rsidR="002E36AE" w:rsidRPr="005D1193">
        <w:rPr>
          <w:rFonts w:ascii="Times New Roman" w:eastAsia="TimesNewRoman" w:hAnsi="Times New Roman"/>
          <w:sz w:val="24"/>
          <w:szCs w:val="24"/>
          <w:lang w:eastAsia="ru-RU"/>
        </w:rPr>
        <w:t>.</w:t>
      </w:r>
      <w:r w:rsidR="00F4523B" w:rsidRPr="005D1193">
        <w:rPr>
          <w:rFonts w:ascii="Times New Roman" w:eastAsia="TimesNewRoman" w:hAnsi="Times New Roman"/>
          <w:sz w:val="24"/>
          <w:szCs w:val="24"/>
          <w:lang w:eastAsia="ru-RU"/>
        </w:rPr>
        <w:t>1</w:t>
      </w:r>
      <w:r w:rsidR="002E36AE" w:rsidRPr="005D1193">
        <w:rPr>
          <w:rFonts w:ascii="Times New Roman" w:eastAsia="TimesNewRoman" w:hAnsi="Times New Roman"/>
          <w:sz w:val="24"/>
          <w:szCs w:val="24"/>
          <w:lang w:eastAsia="ru-RU"/>
        </w:rPr>
        <w:t>.</w:t>
      </w:r>
      <w:r w:rsidR="00461444" w:rsidRPr="005D1193">
        <w:rPr>
          <w:rFonts w:ascii="Times New Roman" w:eastAsia="TimesNewRoman" w:hAnsi="Times New Roman"/>
          <w:sz w:val="24"/>
          <w:szCs w:val="24"/>
          <w:lang w:eastAsia="ru-RU"/>
        </w:rPr>
        <w:t xml:space="preserve"> Розрахунковий центр як </w:t>
      </w:r>
      <w:r w:rsidR="00846E2F" w:rsidRPr="005D1193">
        <w:rPr>
          <w:rFonts w:ascii="Times New Roman" w:eastAsia="TimesNewRoman" w:hAnsi="Times New Roman"/>
          <w:sz w:val="24"/>
          <w:szCs w:val="24"/>
          <w:lang w:eastAsia="ru-RU"/>
        </w:rPr>
        <w:t>ц</w:t>
      </w:r>
      <w:r w:rsidR="00461444" w:rsidRPr="005D1193">
        <w:rPr>
          <w:rFonts w:ascii="Times New Roman" w:eastAsia="TimesNewRoman" w:hAnsi="Times New Roman"/>
          <w:sz w:val="24"/>
          <w:szCs w:val="24"/>
          <w:lang w:eastAsia="ru-RU"/>
        </w:rPr>
        <w:t>ентральний контрагент у випадку невиконання учасником клірингу</w:t>
      </w:r>
      <w:r w:rsidR="00E70272" w:rsidRPr="005D1193">
        <w:rPr>
          <w:rFonts w:ascii="Times New Roman" w:eastAsia="TimesNewRoman" w:hAnsi="Times New Roman"/>
          <w:sz w:val="24"/>
          <w:szCs w:val="24"/>
          <w:lang w:eastAsia="ru-RU"/>
        </w:rPr>
        <w:t xml:space="preserve"> </w:t>
      </w:r>
      <w:r w:rsidR="00554009" w:rsidRPr="005D1193">
        <w:rPr>
          <w:rFonts w:ascii="Times New Roman" w:eastAsia="TimesNewRoman" w:hAnsi="Times New Roman"/>
          <w:sz w:val="24"/>
          <w:szCs w:val="24"/>
          <w:lang w:eastAsia="ru-RU"/>
        </w:rPr>
        <w:t>зобов</w:t>
      </w:r>
      <w:r w:rsidR="005F41FA" w:rsidRPr="005D1193">
        <w:rPr>
          <w:rFonts w:ascii="Times New Roman" w:eastAsia="TimesNewRoman" w:hAnsi="Times New Roman"/>
          <w:sz w:val="24"/>
          <w:szCs w:val="24"/>
          <w:lang w:eastAsia="ru-RU"/>
        </w:rPr>
        <w:t>’</w:t>
      </w:r>
      <w:r w:rsidR="00554009" w:rsidRPr="005D1193">
        <w:rPr>
          <w:rFonts w:ascii="Times New Roman" w:eastAsia="TimesNewRoman" w:hAnsi="Times New Roman"/>
          <w:sz w:val="24"/>
          <w:szCs w:val="24"/>
          <w:lang w:eastAsia="ru-RU"/>
        </w:rPr>
        <w:t xml:space="preserve">язань </w:t>
      </w:r>
      <w:r w:rsidR="00E70272" w:rsidRPr="005D1193">
        <w:rPr>
          <w:rFonts w:ascii="Times New Roman" w:eastAsia="TimesNewRoman" w:hAnsi="Times New Roman"/>
          <w:sz w:val="24"/>
          <w:szCs w:val="24"/>
          <w:lang w:eastAsia="ru-RU"/>
        </w:rPr>
        <w:t>з поставки / оплати цінних паперів дата виконання яких настала, має право:</w:t>
      </w:r>
    </w:p>
    <w:p w14:paraId="24259A87" w14:textId="2DC7BA3D" w:rsidR="00E70272" w:rsidRPr="005D1193" w:rsidRDefault="002310C0" w:rsidP="000A39DA">
      <w:pPr>
        <w:pStyle w:val="a5"/>
        <w:numPr>
          <w:ilvl w:val="0"/>
          <w:numId w:val="2"/>
        </w:numPr>
        <w:tabs>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 xml:space="preserve">примусово </w:t>
      </w:r>
      <w:r w:rsidR="00E70272" w:rsidRPr="005D1193">
        <w:rPr>
          <w:rFonts w:ascii="Times New Roman" w:eastAsia="TimesNewRoman" w:hAnsi="Times New Roman"/>
          <w:sz w:val="24"/>
          <w:szCs w:val="24"/>
          <w:lang w:eastAsia="ru-RU"/>
        </w:rPr>
        <w:t>припиняти зобов</w:t>
      </w:r>
      <w:r w:rsidR="005F41FA" w:rsidRPr="005D1193">
        <w:rPr>
          <w:rFonts w:ascii="Times New Roman" w:eastAsia="TimesNewRoman" w:hAnsi="Times New Roman"/>
          <w:sz w:val="24"/>
          <w:szCs w:val="24"/>
          <w:lang w:eastAsia="ru-RU"/>
        </w:rPr>
        <w:t>’</w:t>
      </w:r>
      <w:r w:rsidR="00E70272" w:rsidRPr="005D1193">
        <w:rPr>
          <w:rFonts w:ascii="Times New Roman" w:eastAsia="TimesNewRoman" w:hAnsi="Times New Roman"/>
          <w:sz w:val="24"/>
          <w:szCs w:val="24"/>
          <w:lang w:eastAsia="ru-RU"/>
        </w:rPr>
        <w:t>язання учасника клірингу</w:t>
      </w:r>
      <w:r w:rsidR="008A2641" w:rsidRPr="005D1193">
        <w:rPr>
          <w:rFonts w:ascii="Times New Roman" w:eastAsia="TimesNewRoman" w:hAnsi="Times New Roman"/>
          <w:sz w:val="24"/>
          <w:szCs w:val="24"/>
          <w:lang w:eastAsia="ru-RU"/>
        </w:rPr>
        <w:t>,</w:t>
      </w:r>
      <w:r w:rsidR="00E70272" w:rsidRPr="005D1193">
        <w:rPr>
          <w:rFonts w:ascii="Times New Roman" w:eastAsia="TimesNewRoman" w:hAnsi="Times New Roman"/>
          <w:sz w:val="24"/>
          <w:szCs w:val="24"/>
          <w:lang w:eastAsia="ru-RU"/>
        </w:rPr>
        <w:t xml:space="preserve"> за яким було допущене невиконання;</w:t>
      </w:r>
    </w:p>
    <w:p w14:paraId="51A60349" w14:textId="05A25FB5" w:rsidR="00E70272" w:rsidRPr="005D1193" w:rsidRDefault="00E70272" w:rsidP="000A39DA">
      <w:pPr>
        <w:pStyle w:val="a5"/>
        <w:numPr>
          <w:ilvl w:val="0"/>
          <w:numId w:val="2"/>
        </w:numPr>
        <w:tabs>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lastRenderedPageBreak/>
        <w:t>списувати з гарантійного забезпечення такого учасника клірингу кошти та</w:t>
      </w:r>
      <w:r w:rsidR="00FA074E" w:rsidRPr="005D1193">
        <w:rPr>
          <w:rFonts w:ascii="Times New Roman" w:eastAsia="TimesNewRoman" w:hAnsi="Times New Roman"/>
          <w:sz w:val="24"/>
          <w:szCs w:val="24"/>
          <w:lang w:eastAsia="ru-RU"/>
        </w:rPr>
        <w:t>/або</w:t>
      </w:r>
      <w:r w:rsidRPr="005D1193">
        <w:rPr>
          <w:rFonts w:ascii="Times New Roman" w:eastAsia="TimesNewRoman" w:hAnsi="Times New Roman"/>
          <w:sz w:val="24"/>
          <w:szCs w:val="24"/>
          <w:lang w:eastAsia="ru-RU"/>
        </w:rPr>
        <w:t xml:space="preserve"> цінні папери в якості штрафу в порядку, що визначен</w:t>
      </w:r>
      <w:r w:rsidR="005620F0" w:rsidRPr="005D1193">
        <w:rPr>
          <w:rFonts w:ascii="Times New Roman" w:eastAsia="TimesNewRoman" w:hAnsi="Times New Roman"/>
          <w:sz w:val="24"/>
          <w:szCs w:val="24"/>
          <w:lang w:eastAsia="ru-RU"/>
        </w:rPr>
        <w:t>ий</w:t>
      </w:r>
      <w:r w:rsidRPr="005D1193">
        <w:rPr>
          <w:rFonts w:ascii="Times New Roman" w:eastAsia="TimesNewRoman" w:hAnsi="Times New Roman"/>
          <w:sz w:val="24"/>
          <w:szCs w:val="24"/>
          <w:lang w:eastAsia="ru-RU"/>
        </w:rPr>
        <w:t xml:space="preserve"> </w:t>
      </w:r>
      <w:r w:rsidR="00554009" w:rsidRPr="005D1193">
        <w:rPr>
          <w:rFonts w:ascii="Times New Roman" w:hAnsi="Times New Roman"/>
          <w:sz w:val="24"/>
          <w:szCs w:val="24"/>
        </w:rPr>
        <w:t>Регламентом провадження клірингової діяльності;</w:t>
      </w:r>
    </w:p>
    <w:p w14:paraId="68D8E3FB" w14:textId="7FBFEF5C" w:rsidR="00554009" w:rsidRPr="005D1193" w:rsidRDefault="00554009"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hAnsi="Times New Roman"/>
          <w:sz w:val="24"/>
          <w:szCs w:val="24"/>
        </w:rPr>
        <w:t>застосовувати до такого учасника клірингу інші санкції</w:t>
      </w:r>
      <w:r w:rsidR="008A2641" w:rsidRPr="005D1193">
        <w:rPr>
          <w:rFonts w:ascii="Times New Roman" w:hAnsi="Times New Roman"/>
          <w:sz w:val="24"/>
          <w:szCs w:val="24"/>
        </w:rPr>
        <w:t>,</w:t>
      </w:r>
      <w:r w:rsidRPr="005D1193">
        <w:rPr>
          <w:rFonts w:ascii="Times New Roman" w:hAnsi="Times New Roman"/>
          <w:sz w:val="24"/>
          <w:szCs w:val="24"/>
        </w:rPr>
        <w:t xml:space="preserve"> передбачені</w:t>
      </w:r>
      <w:r w:rsidR="008A2641" w:rsidRPr="005D1193">
        <w:rPr>
          <w:rFonts w:ascii="Times New Roman" w:eastAsia="TimesNewRoman" w:hAnsi="Times New Roman"/>
          <w:sz w:val="24"/>
          <w:szCs w:val="24"/>
          <w:lang w:eastAsia="ru-RU"/>
        </w:rPr>
        <w:t xml:space="preserve"> договорами, укладеними Розрахунковим центром з учасником клірингу та </w:t>
      </w:r>
      <w:r w:rsidR="008A2641" w:rsidRPr="005D1193">
        <w:rPr>
          <w:rFonts w:ascii="Times New Roman" w:hAnsi="Times New Roman"/>
          <w:sz w:val="24"/>
          <w:szCs w:val="24"/>
        </w:rPr>
        <w:t>Регламентом провадження клірингової діяльності</w:t>
      </w:r>
      <w:r w:rsidRPr="005D1193">
        <w:rPr>
          <w:rFonts w:ascii="Times New Roman" w:hAnsi="Times New Roman"/>
          <w:sz w:val="24"/>
          <w:szCs w:val="24"/>
        </w:rPr>
        <w:t>.</w:t>
      </w:r>
    </w:p>
    <w:p w14:paraId="63AEF391" w14:textId="62407672" w:rsidR="00554009" w:rsidRPr="005D1193" w:rsidRDefault="00554009" w:rsidP="000A39DA">
      <w:pPr>
        <w:tabs>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5.</w:t>
      </w:r>
      <w:r w:rsidR="008A2641" w:rsidRPr="005D1193">
        <w:rPr>
          <w:rFonts w:ascii="Times New Roman" w:eastAsia="TimesNewRoman" w:hAnsi="Times New Roman"/>
          <w:sz w:val="24"/>
          <w:szCs w:val="24"/>
          <w:lang w:eastAsia="ru-RU"/>
        </w:rPr>
        <w:t>6</w:t>
      </w:r>
      <w:r w:rsidR="006669E3" w:rsidRPr="005D1193">
        <w:rPr>
          <w:rFonts w:ascii="Times New Roman" w:eastAsia="TimesNewRoman" w:hAnsi="Times New Roman"/>
          <w:sz w:val="24"/>
          <w:szCs w:val="24"/>
          <w:lang w:eastAsia="ru-RU"/>
        </w:rPr>
        <w:t>.</w:t>
      </w:r>
      <w:r w:rsidR="00F4523B" w:rsidRPr="005D1193">
        <w:rPr>
          <w:rFonts w:ascii="Times New Roman" w:eastAsia="TimesNewRoman" w:hAnsi="Times New Roman"/>
          <w:sz w:val="24"/>
          <w:szCs w:val="24"/>
          <w:lang w:eastAsia="ru-RU"/>
        </w:rPr>
        <w:t>2</w:t>
      </w:r>
      <w:r w:rsidRPr="005D1193">
        <w:rPr>
          <w:rFonts w:ascii="Times New Roman" w:eastAsia="TimesNewRoman" w:hAnsi="Times New Roman"/>
          <w:sz w:val="24"/>
          <w:szCs w:val="24"/>
          <w:lang w:eastAsia="ru-RU"/>
        </w:rPr>
        <w:t>. Розрахунковий центр як центральний контрагент у випадку невиконання учасником клірингу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язань з </w:t>
      </w:r>
      <w:r w:rsidR="00BA776E" w:rsidRPr="005D1193">
        <w:rPr>
          <w:rFonts w:ascii="Times New Roman" w:eastAsia="TimesNewRoman" w:hAnsi="Times New Roman"/>
          <w:sz w:val="24"/>
          <w:szCs w:val="24"/>
          <w:lang w:eastAsia="ru-RU"/>
        </w:rPr>
        <w:t>виконання</w:t>
      </w:r>
      <w:r w:rsidRPr="005D1193">
        <w:rPr>
          <w:rFonts w:ascii="Times New Roman" w:eastAsia="TimesNewRoman" w:hAnsi="Times New Roman"/>
          <w:sz w:val="24"/>
          <w:szCs w:val="24"/>
          <w:lang w:eastAsia="ru-RU"/>
        </w:rPr>
        <w:t xml:space="preserve"> маржинальної вимоги має право:</w:t>
      </w:r>
    </w:p>
    <w:p w14:paraId="49C2E448" w14:textId="5E0CEDC5" w:rsidR="00554009" w:rsidRPr="005D1193" w:rsidRDefault="002310C0"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 xml:space="preserve">примусово </w:t>
      </w:r>
      <w:r w:rsidR="00554009" w:rsidRPr="005D1193">
        <w:rPr>
          <w:rFonts w:ascii="Times New Roman" w:eastAsia="TimesNewRoman" w:hAnsi="Times New Roman"/>
          <w:sz w:val="24"/>
          <w:szCs w:val="24"/>
          <w:lang w:eastAsia="ru-RU"/>
        </w:rPr>
        <w:t>припиняти поточні та майбутні зобов</w:t>
      </w:r>
      <w:r w:rsidR="005F41FA" w:rsidRPr="005D1193">
        <w:rPr>
          <w:rFonts w:ascii="Times New Roman" w:eastAsia="TimesNewRoman" w:hAnsi="Times New Roman"/>
          <w:sz w:val="24"/>
          <w:szCs w:val="24"/>
          <w:lang w:eastAsia="ru-RU"/>
        </w:rPr>
        <w:t>’</w:t>
      </w:r>
      <w:r w:rsidR="00554009" w:rsidRPr="005D1193">
        <w:rPr>
          <w:rFonts w:ascii="Times New Roman" w:eastAsia="TimesNewRoman" w:hAnsi="Times New Roman"/>
          <w:sz w:val="24"/>
          <w:szCs w:val="24"/>
          <w:lang w:eastAsia="ru-RU"/>
        </w:rPr>
        <w:t xml:space="preserve">язання учасника клірингу </w:t>
      </w:r>
      <w:r w:rsidR="00590371" w:rsidRPr="005D1193">
        <w:rPr>
          <w:rFonts w:ascii="Times New Roman" w:eastAsia="TimesNewRoman" w:hAnsi="Times New Roman"/>
          <w:sz w:val="24"/>
          <w:szCs w:val="24"/>
          <w:lang w:eastAsia="ru-RU"/>
        </w:rPr>
        <w:t xml:space="preserve">в розмірі достатньому для </w:t>
      </w:r>
      <w:r w:rsidR="00402D39" w:rsidRPr="005D1193">
        <w:rPr>
          <w:rFonts w:ascii="Times New Roman" w:eastAsia="TimesNewRoman" w:hAnsi="Times New Roman"/>
          <w:sz w:val="24"/>
          <w:szCs w:val="24"/>
          <w:lang w:eastAsia="ru-RU"/>
        </w:rPr>
        <w:t>виконання</w:t>
      </w:r>
      <w:r w:rsidR="00590371" w:rsidRPr="005D1193">
        <w:rPr>
          <w:rFonts w:ascii="Times New Roman" w:eastAsia="TimesNewRoman" w:hAnsi="Times New Roman"/>
          <w:sz w:val="24"/>
          <w:szCs w:val="24"/>
          <w:lang w:eastAsia="ru-RU"/>
        </w:rPr>
        <w:t xml:space="preserve"> маржинальної вимоги</w:t>
      </w:r>
      <w:r w:rsidR="00554009" w:rsidRPr="005D1193">
        <w:rPr>
          <w:rFonts w:ascii="Times New Roman" w:eastAsia="TimesNewRoman" w:hAnsi="Times New Roman"/>
          <w:sz w:val="24"/>
          <w:szCs w:val="24"/>
          <w:lang w:eastAsia="ru-RU"/>
        </w:rPr>
        <w:t>;</w:t>
      </w:r>
    </w:p>
    <w:p w14:paraId="54BC797E" w14:textId="08B530EE" w:rsidR="00554009" w:rsidRPr="005D1193" w:rsidRDefault="00554009"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списувати з гарантійного забезпечення такого учасника клірингу кошти та</w:t>
      </w:r>
      <w:r w:rsidR="00FA074E" w:rsidRPr="005D1193">
        <w:rPr>
          <w:rFonts w:ascii="Times New Roman" w:eastAsia="TimesNewRoman" w:hAnsi="Times New Roman"/>
          <w:sz w:val="24"/>
          <w:szCs w:val="24"/>
          <w:lang w:eastAsia="ru-RU"/>
        </w:rPr>
        <w:t>/або</w:t>
      </w:r>
      <w:r w:rsidRPr="005D1193">
        <w:rPr>
          <w:rFonts w:ascii="Times New Roman" w:eastAsia="TimesNewRoman" w:hAnsi="Times New Roman"/>
          <w:sz w:val="24"/>
          <w:szCs w:val="24"/>
          <w:lang w:eastAsia="ru-RU"/>
        </w:rPr>
        <w:t xml:space="preserve"> цінні папери в якості штрафу в порядку, що визначен</w:t>
      </w:r>
      <w:r w:rsidR="005620F0" w:rsidRPr="005D1193">
        <w:rPr>
          <w:rFonts w:ascii="Times New Roman" w:eastAsia="TimesNewRoman" w:hAnsi="Times New Roman"/>
          <w:sz w:val="24"/>
          <w:szCs w:val="24"/>
          <w:lang w:eastAsia="ru-RU"/>
        </w:rPr>
        <w:t>ий</w:t>
      </w:r>
      <w:r w:rsidRPr="005D1193">
        <w:rPr>
          <w:rFonts w:ascii="Times New Roman" w:eastAsia="TimesNewRoman" w:hAnsi="Times New Roman"/>
          <w:sz w:val="24"/>
          <w:szCs w:val="24"/>
          <w:lang w:eastAsia="ru-RU"/>
        </w:rPr>
        <w:t xml:space="preserve"> </w:t>
      </w:r>
      <w:r w:rsidRPr="005D1193">
        <w:rPr>
          <w:rFonts w:ascii="Times New Roman" w:hAnsi="Times New Roman"/>
          <w:sz w:val="24"/>
          <w:szCs w:val="24"/>
        </w:rPr>
        <w:t>Регламентом провадження клірингової діяльності;</w:t>
      </w:r>
    </w:p>
    <w:p w14:paraId="5D8DC0B8" w14:textId="2FEA5CB5" w:rsidR="00554009" w:rsidRPr="005D1193" w:rsidRDefault="00554009"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hAnsi="Times New Roman"/>
          <w:sz w:val="24"/>
          <w:szCs w:val="24"/>
        </w:rPr>
        <w:t>застосовувати до такого учасника клірингу інші санкції передбачені</w:t>
      </w:r>
      <w:r w:rsidR="008A2641" w:rsidRPr="005D1193">
        <w:rPr>
          <w:rFonts w:ascii="Times New Roman" w:eastAsia="TimesNewRoman" w:hAnsi="Times New Roman"/>
          <w:sz w:val="24"/>
          <w:szCs w:val="24"/>
          <w:lang w:eastAsia="ru-RU"/>
        </w:rPr>
        <w:t xml:space="preserve"> договорами, укладеними Розрахунковим центром з учасником клірингу та </w:t>
      </w:r>
      <w:r w:rsidR="008A2641" w:rsidRPr="005D1193">
        <w:rPr>
          <w:rFonts w:ascii="Times New Roman" w:hAnsi="Times New Roman"/>
          <w:sz w:val="24"/>
          <w:szCs w:val="24"/>
        </w:rPr>
        <w:t>Регламентом провадження клірингової діяльності</w:t>
      </w:r>
      <w:r w:rsidRPr="005D1193">
        <w:rPr>
          <w:rFonts w:ascii="Times New Roman" w:hAnsi="Times New Roman"/>
          <w:sz w:val="24"/>
          <w:szCs w:val="24"/>
        </w:rPr>
        <w:t>.</w:t>
      </w:r>
    </w:p>
    <w:p w14:paraId="22274CE7" w14:textId="0E12AF1B" w:rsidR="006669E3" w:rsidRPr="005D1193" w:rsidRDefault="006669E3" w:rsidP="000A39DA">
      <w:pPr>
        <w:tabs>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5.</w:t>
      </w:r>
      <w:r w:rsidR="008A2641" w:rsidRPr="005D1193">
        <w:rPr>
          <w:rFonts w:ascii="Times New Roman" w:eastAsia="TimesNewRoman" w:hAnsi="Times New Roman"/>
          <w:sz w:val="24"/>
          <w:szCs w:val="24"/>
          <w:lang w:eastAsia="ru-RU"/>
        </w:rPr>
        <w:t>6</w:t>
      </w:r>
      <w:r w:rsidRPr="005D1193">
        <w:rPr>
          <w:rFonts w:ascii="Times New Roman" w:eastAsia="TimesNewRoman" w:hAnsi="Times New Roman"/>
          <w:sz w:val="24"/>
          <w:szCs w:val="24"/>
          <w:lang w:eastAsia="ru-RU"/>
        </w:rPr>
        <w:t>.</w:t>
      </w:r>
      <w:r w:rsidR="00CA129D" w:rsidRPr="005D1193">
        <w:rPr>
          <w:rFonts w:ascii="Times New Roman" w:eastAsia="TimesNewRoman" w:hAnsi="Times New Roman"/>
          <w:sz w:val="24"/>
          <w:szCs w:val="24"/>
          <w:lang w:eastAsia="ru-RU"/>
        </w:rPr>
        <w:t>3</w:t>
      </w:r>
      <w:r w:rsidRPr="005D1193">
        <w:rPr>
          <w:rFonts w:ascii="Times New Roman" w:eastAsia="TimesNewRoman" w:hAnsi="Times New Roman"/>
          <w:sz w:val="24"/>
          <w:szCs w:val="24"/>
          <w:lang w:eastAsia="ru-RU"/>
        </w:rPr>
        <w:t>.</w:t>
      </w:r>
      <w:r w:rsidR="00CD6306" w:rsidRPr="005D1193">
        <w:rPr>
          <w:rFonts w:ascii="Times New Roman" w:eastAsia="TimesNewRoman" w:hAnsi="Times New Roman"/>
          <w:sz w:val="24"/>
          <w:szCs w:val="24"/>
          <w:lang w:eastAsia="ru-RU"/>
        </w:rPr>
        <w:t xml:space="preserve"> </w:t>
      </w:r>
      <w:r w:rsidRPr="005D1193">
        <w:rPr>
          <w:rFonts w:ascii="Times New Roman" w:eastAsia="TimesNewRoman" w:hAnsi="Times New Roman"/>
          <w:sz w:val="24"/>
          <w:szCs w:val="24"/>
          <w:lang w:eastAsia="ru-RU"/>
        </w:rPr>
        <w:t xml:space="preserve">Розрахунковий центр як центральний контрагент у випадку </w:t>
      </w:r>
      <w:r w:rsidR="00A04E9E" w:rsidRPr="005D1193">
        <w:rPr>
          <w:rFonts w:ascii="Times New Roman" w:eastAsia="TimesNewRoman" w:hAnsi="Times New Roman"/>
          <w:sz w:val="24"/>
          <w:szCs w:val="24"/>
          <w:lang w:eastAsia="ru-RU"/>
        </w:rPr>
        <w:t xml:space="preserve">неплатоспроможності </w:t>
      </w:r>
      <w:r w:rsidR="00FA074E" w:rsidRPr="005D1193">
        <w:rPr>
          <w:rFonts w:ascii="Times New Roman" w:eastAsia="TimesNewRoman" w:hAnsi="Times New Roman"/>
          <w:sz w:val="24"/>
          <w:szCs w:val="24"/>
          <w:lang w:eastAsia="ru-RU"/>
        </w:rPr>
        <w:t>учасника клірингу</w:t>
      </w:r>
      <w:r w:rsidR="00822AA4">
        <w:rPr>
          <w:rFonts w:ascii="Times New Roman" w:eastAsia="TimesNewRoman" w:hAnsi="Times New Roman"/>
          <w:sz w:val="24"/>
          <w:szCs w:val="24"/>
          <w:lang w:eastAsia="ru-RU"/>
        </w:rPr>
        <w:t xml:space="preserve"> /</w:t>
      </w:r>
      <w:r w:rsidR="00822AA4" w:rsidRPr="00822AA4">
        <w:t xml:space="preserve"> </w:t>
      </w:r>
      <w:r w:rsidR="00822AA4" w:rsidRPr="00822AA4">
        <w:rPr>
          <w:rFonts w:ascii="Times New Roman" w:eastAsia="TimesNewRoman" w:hAnsi="Times New Roman"/>
          <w:sz w:val="24"/>
          <w:szCs w:val="24"/>
          <w:lang w:eastAsia="ru-RU"/>
        </w:rPr>
        <w:t>клієнта учасника клірингу</w:t>
      </w:r>
      <w:r w:rsidR="00FA074E" w:rsidRPr="005D1193">
        <w:rPr>
          <w:rFonts w:ascii="Times New Roman" w:eastAsia="TimesNewRoman" w:hAnsi="Times New Roman"/>
          <w:sz w:val="24"/>
          <w:szCs w:val="24"/>
          <w:lang w:eastAsia="ru-RU"/>
        </w:rPr>
        <w:t xml:space="preserve"> </w:t>
      </w:r>
      <w:r w:rsidR="00CD5DA0">
        <w:rPr>
          <w:rFonts w:ascii="Times New Roman" w:eastAsia="TimesNewRoman" w:hAnsi="Times New Roman"/>
          <w:sz w:val="24"/>
          <w:szCs w:val="24"/>
          <w:lang w:eastAsia="ru-RU"/>
        </w:rPr>
        <w:t>проводить</w:t>
      </w:r>
      <w:r w:rsidR="00693F3B" w:rsidRPr="005D1193">
        <w:rPr>
          <w:rFonts w:ascii="Times New Roman" w:eastAsia="TimesNewRoman" w:hAnsi="Times New Roman"/>
          <w:sz w:val="24"/>
          <w:szCs w:val="24"/>
          <w:lang w:eastAsia="ru-RU"/>
        </w:rPr>
        <w:t xml:space="preserve"> процедуру ліквідаційного неттінгу</w:t>
      </w:r>
      <w:r w:rsidR="00CD5DA0">
        <w:rPr>
          <w:rFonts w:ascii="Times New Roman" w:eastAsia="TimesNewRoman" w:hAnsi="Times New Roman"/>
          <w:sz w:val="24"/>
          <w:szCs w:val="24"/>
          <w:lang w:eastAsia="ru-RU"/>
        </w:rPr>
        <w:t xml:space="preserve">, під час якої здійснює дії, визначені Правилами </w:t>
      </w:r>
      <w:r w:rsidR="00CD5DA0" w:rsidRPr="00CD5DA0">
        <w:rPr>
          <w:rFonts w:ascii="Times New Roman" w:eastAsia="TimesNewRoman" w:hAnsi="Times New Roman"/>
          <w:sz w:val="24"/>
          <w:szCs w:val="24"/>
          <w:lang w:eastAsia="ru-RU"/>
        </w:rPr>
        <w:t xml:space="preserve">провадження клірингової діяльності публічного акціонерного товариства </w:t>
      </w:r>
      <w:r w:rsidR="00213430">
        <w:rPr>
          <w:rFonts w:ascii="Times New Roman" w:eastAsia="TimesNewRoman" w:hAnsi="Times New Roman"/>
          <w:sz w:val="24"/>
          <w:szCs w:val="24"/>
          <w:lang w:eastAsia="ru-RU"/>
        </w:rPr>
        <w:t>«</w:t>
      </w:r>
      <w:r w:rsidR="00CD5DA0" w:rsidRPr="00CD5DA0">
        <w:rPr>
          <w:rFonts w:ascii="Times New Roman" w:eastAsia="TimesNewRoman" w:hAnsi="Times New Roman"/>
          <w:sz w:val="24"/>
          <w:szCs w:val="24"/>
          <w:lang w:eastAsia="ru-RU"/>
        </w:rPr>
        <w:t>Розрахунковий центр з обслуговування договорів на фінансових ринках</w:t>
      </w:r>
      <w:r w:rsidR="00213430">
        <w:rPr>
          <w:rFonts w:ascii="Times New Roman" w:eastAsia="TimesNewRoman" w:hAnsi="Times New Roman"/>
          <w:sz w:val="24"/>
          <w:szCs w:val="24"/>
          <w:lang w:eastAsia="ru-RU"/>
        </w:rPr>
        <w:t>»</w:t>
      </w:r>
      <w:r w:rsidR="006E2B4D">
        <w:rPr>
          <w:rFonts w:ascii="Times New Roman" w:eastAsia="TimesNewRoman" w:hAnsi="Times New Roman"/>
          <w:sz w:val="24"/>
          <w:szCs w:val="24"/>
          <w:lang w:eastAsia="ru-RU"/>
        </w:rPr>
        <w:t>, в тому числі</w:t>
      </w:r>
      <w:r w:rsidRPr="005D1193">
        <w:rPr>
          <w:rFonts w:ascii="Times New Roman" w:eastAsia="TimesNewRoman" w:hAnsi="Times New Roman"/>
          <w:sz w:val="24"/>
          <w:szCs w:val="24"/>
          <w:lang w:eastAsia="ru-RU"/>
        </w:rPr>
        <w:t>:</w:t>
      </w:r>
    </w:p>
    <w:p w14:paraId="58BE0FA2" w14:textId="7DD44F5C" w:rsidR="006669E3" w:rsidRPr="005D1193" w:rsidRDefault="006669E3"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припин</w:t>
      </w:r>
      <w:r w:rsidR="00FA074E" w:rsidRPr="005D1193">
        <w:rPr>
          <w:rFonts w:ascii="Times New Roman" w:eastAsia="TimesNewRoman" w:hAnsi="Times New Roman"/>
          <w:sz w:val="24"/>
          <w:szCs w:val="24"/>
          <w:lang w:eastAsia="ru-RU"/>
        </w:rPr>
        <w:t>яє</w:t>
      </w:r>
      <w:r w:rsidRPr="005D1193">
        <w:rPr>
          <w:rFonts w:ascii="Times New Roman" w:eastAsia="TimesNewRoman" w:hAnsi="Times New Roman"/>
          <w:sz w:val="24"/>
          <w:szCs w:val="24"/>
          <w:lang w:eastAsia="ru-RU"/>
        </w:rPr>
        <w:t xml:space="preserve"> всі поточні </w:t>
      </w:r>
      <w:r w:rsidR="003731E7" w:rsidRPr="005D1193">
        <w:rPr>
          <w:rFonts w:ascii="Times New Roman" w:eastAsia="TimesNewRoman" w:hAnsi="Times New Roman"/>
          <w:sz w:val="24"/>
          <w:szCs w:val="24"/>
          <w:lang w:eastAsia="ru-RU"/>
        </w:rPr>
        <w:t>зобов’язання</w:t>
      </w:r>
      <w:r w:rsidR="00EF5819" w:rsidRPr="00EF5819">
        <w:rPr>
          <w:rFonts w:ascii="Times New Roman" w:eastAsia="TimesNewRoman" w:hAnsi="Times New Roman"/>
          <w:sz w:val="24"/>
          <w:szCs w:val="24"/>
          <w:lang w:eastAsia="ru-RU"/>
        </w:rPr>
        <w:t xml:space="preserve"> </w:t>
      </w:r>
      <w:r w:rsidR="00EF5819" w:rsidRPr="005D1193">
        <w:rPr>
          <w:rFonts w:ascii="Times New Roman" w:eastAsia="TimesNewRoman" w:hAnsi="Times New Roman"/>
          <w:sz w:val="24"/>
          <w:szCs w:val="24"/>
          <w:lang w:eastAsia="ru-RU"/>
        </w:rPr>
        <w:t>учасника клірингу</w:t>
      </w:r>
      <w:r w:rsidR="003731E7">
        <w:rPr>
          <w:rFonts w:ascii="Times New Roman" w:eastAsia="TimesNewRoman" w:hAnsi="Times New Roman"/>
          <w:sz w:val="24"/>
          <w:szCs w:val="24"/>
          <w:lang w:eastAsia="ru-RU"/>
        </w:rPr>
        <w:t xml:space="preserve">, які не були виконані під час </w:t>
      </w:r>
      <w:r w:rsidR="003731E7" w:rsidRPr="0010776C">
        <w:rPr>
          <w:rFonts w:ascii="Times New Roman" w:hAnsi="Times New Roman"/>
          <w:sz w:val="24"/>
          <w:szCs w:val="24"/>
        </w:rPr>
        <w:t>проведення процедури ліквідаційного неттінгу</w:t>
      </w:r>
      <w:r w:rsidR="003731E7">
        <w:rPr>
          <w:rFonts w:ascii="Times New Roman" w:hAnsi="Times New Roman"/>
          <w:sz w:val="24"/>
          <w:szCs w:val="24"/>
        </w:rPr>
        <w:t>,</w:t>
      </w:r>
      <w:r w:rsidR="003731E7" w:rsidRPr="005D1193">
        <w:rPr>
          <w:rFonts w:ascii="Times New Roman" w:eastAsia="TimesNewRoman" w:hAnsi="Times New Roman"/>
          <w:sz w:val="24"/>
          <w:szCs w:val="24"/>
          <w:lang w:eastAsia="ru-RU"/>
        </w:rPr>
        <w:t xml:space="preserve"> </w:t>
      </w:r>
      <w:r w:rsidRPr="005D1193">
        <w:rPr>
          <w:rFonts w:ascii="Times New Roman" w:eastAsia="TimesNewRoman" w:hAnsi="Times New Roman"/>
          <w:sz w:val="24"/>
          <w:szCs w:val="24"/>
          <w:lang w:eastAsia="ru-RU"/>
        </w:rPr>
        <w:t>та майбутні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язання учасника клірингу;</w:t>
      </w:r>
    </w:p>
    <w:p w14:paraId="0E6AB244" w14:textId="5D9C60F0" w:rsidR="006669E3" w:rsidRPr="005D1193" w:rsidRDefault="006669E3"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спису</w:t>
      </w:r>
      <w:r w:rsidR="00FA074E" w:rsidRPr="005D1193">
        <w:rPr>
          <w:rFonts w:ascii="Times New Roman" w:eastAsia="TimesNewRoman" w:hAnsi="Times New Roman"/>
          <w:sz w:val="24"/>
          <w:szCs w:val="24"/>
          <w:lang w:eastAsia="ru-RU"/>
        </w:rPr>
        <w:t>є</w:t>
      </w:r>
      <w:r w:rsidRPr="005D1193">
        <w:rPr>
          <w:rFonts w:ascii="Times New Roman" w:eastAsia="TimesNewRoman" w:hAnsi="Times New Roman"/>
          <w:sz w:val="24"/>
          <w:szCs w:val="24"/>
          <w:lang w:eastAsia="ru-RU"/>
        </w:rPr>
        <w:t xml:space="preserve"> з гарантійного забезпечення такого учасника клірингу кошти та</w:t>
      </w:r>
      <w:r w:rsidR="00FA074E" w:rsidRPr="005D1193">
        <w:rPr>
          <w:rFonts w:ascii="Times New Roman" w:eastAsia="TimesNewRoman" w:hAnsi="Times New Roman"/>
          <w:sz w:val="24"/>
          <w:szCs w:val="24"/>
          <w:lang w:eastAsia="ru-RU"/>
        </w:rPr>
        <w:t>/або</w:t>
      </w:r>
      <w:r w:rsidRPr="005D1193">
        <w:rPr>
          <w:rFonts w:ascii="Times New Roman" w:eastAsia="TimesNewRoman" w:hAnsi="Times New Roman"/>
          <w:sz w:val="24"/>
          <w:szCs w:val="24"/>
          <w:lang w:eastAsia="ru-RU"/>
        </w:rPr>
        <w:t xml:space="preserve"> цінні папери в якості штрафу в порядку, що визначен</w:t>
      </w:r>
      <w:r w:rsidR="005620F0" w:rsidRPr="005D1193">
        <w:rPr>
          <w:rFonts w:ascii="Times New Roman" w:eastAsia="TimesNewRoman" w:hAnsi="Times New Roman"/>
          <w:sz w:val="24"/>
          <w:szCs w:val="24"/>
          <w:lang w:eastAsia="ru-RU"/>
        </w:rPr>
        <w:t>ий</w:t>
      </w:r>
      <w:r w:rsidRPr="005D1193">
        <w:rPr>
          <w:rFonts w:ascii="Times New Roman" w:eastAsia="TimesNewRoman" w:hAnsi="Times New Roman"/>
          <w:sz w:val="24"/>
          <w:szCs w:val="24"/>
          <w:lang w:eastAsia="ru-RU"/>
        </w:rPr>
        <w:t xml:space="preserve"> </w:t>
      </w:r>
      <w:r w:rsidRPr="005D1193">
        <w:rPr>
          <w:rFonts w:ascii="Times New Roman" w:hAnsi="Times New Roman"/>
          <w:sz w:val="24"/>
          <w:szCs w:val="24"/>
        </w:rPr>
        <w:t>Регламентом провадження клірингової діяльності Розрахункового центру.</w:t>
      </w:r>
    </w:p>
    <w:p w14:paraId="4C8D3C59" w14:textId="349D40B5" w:rsidR="00644100" w:rsidRPr="005D1193" w:rsidRDefault="00644100"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eastAsia="TimesNewRoman" w:hAnsi="Times New Roman"/>
          <w:sz w:val="24"/>
          <w:szCs w:val="24"/>
          <w:lang w:eastAsia="ru-RU"/>
        </w:rPr>
        <w:t>5.6.4. Розрахунковий центр як центральний контрагент у випадках, визначених п.5.6.1.-5.6.3. цього Положення, припиняє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язання </w:t>
      </w:r>
      <w:r w:rsidR="00083A95" w:rsidRPr="005D1193">
        <w:rPr>
          <w:rFonts w:ascii="Times New Roman" w:eastAsia="TimesNewRoman" w:hAnsi="Times New Roman"/>
          <w:sz w:val="24"/>
          <w:szCs w:val="24"/>
          <w:lang w:eastAsia="ru-RU"/>
        </w:rPr>
        <w:t xml:space="preserve">центрального контрагента та </w:t>
      </w:r>
      <w:r w:rsidR="003E325F" w:rsidRPr="005D1193">
        <w:rPr>
          <w:rFonts w:ascii="Times New Roman" w:eastAsia="TimesNewRoman" w:hAnsi="Times New Roman"/>
          <w:sz w:val="24"/>
          <w:szCs w:val="24"/>
          <w:lang w:eastAsia="ru-RU"/>
        </w:rPr>
        <w:t>добросовісної</w:t>
      </w:r>
      <w:r w:rsidRPr="005D1193">
        <w:rPr>
          <w:rFonts w:ascii="Times New Roman" w:eastAsia="TimesNewRoman" w:hAnsi="Times New Roman"/>
          <w:sz w:val="24"/>
          <w:szCs w:val="24"/>
          <w:lang w:eastAsia="ru-RU"/>
        </w:rPr>
        <w:t xml:space="preserve"> сто</w:t>
      </w:r>
      <w:r w:rsidR="003E325F" w:rsidRPr="005D1193">
        <w:rPr>
          <w:rFonts w:ascii="Times New Roman" w:eastAsia="TimesNewRoman" w:hAnsi="Times New Roman"/>
          <w:sz w:val="24"/>
          <w:szCs w:val="24"/>
          <w:lang w:eastAsia="ru-RU"/>
        </w:rPr>
        <w:t>рони</w:t>
      </w:r>
      <w:r w:rsidRPr="005D1193">
        <w:rPr>
          <w:rFonts w:ascii="Times New Roman" w:eastAsia="TimesNewRoman" w:hAnsi="Times New Roman"/>
          <w:sz w:val="24"/>
          <w:szCs w:val="24"/>
          <w:lang w:eastAsia="ru-RU"/>
        </w:rPr>
        <w:t xml:space="preserve"> договор</w:t>
      </w:r>
      <w:r w:rsidR="003E325F" w:rsidRPr="005D1193">
        <w:rPr>
          <w:rFonts w:ascii="Times New Roman" w:eastAsia="TimesNewRoman" w:hAnsi="Times New Roman"/>
          <w:sz w:val="24"/>
          <w:szCs w:val="24"/>
          <w:lang w:eastAsia="ru-RU"/>
        </w:rPr>
        <w:t>у</w:t>
      </w:r>
      <w:r w:rsidRPr="005D1193">
        <w:rPr>
          <w:rFonts w:ascii="Times New Roman" w:eastAsia="TimesNewRoman" w:hAnsi="Times New Roman"/>
          <w:sz w:val="24"/>
          <w:szCs w:val="24"/>
          <w:lang w:eastAsia="ru-RU"/>
        </w:rPr>
        <w:t xml:space="preserve"> РЕПО</w:t>
      </w:r>
      <w:r w:rsidR="00D26863" w:rsidRPr="005D1193">
        <w:rPr>
          <w:rFonts w:ascii="Times New Roman" w:eastAsia="TimesNewRoman" w:hAnsi="Times New Roman"/>
          <w:sz w:val="24"/>
          <w:szCs w:val="24"/>
          <w:lang w:eastAsia="ru-RU"/>
        </w:rPr>
        <w:t xml:space="preserve"> та</w:t>
      </w:r>
      <w:r w:rsidR="003E325F" w:rsidRPr="005D1193">
        <w:rPr>
          <w:rFonts w:ascii="Times New Roman" w:eastAsia="TimesNewRoman" w:hAnsi="Times New Roman"/>
          <w:sz w:val="24"/>
          <w:szCs w:val="24"/>
          <w:lang w:eastAsia="ru-RU"/>
        </w:rPr>
        <w:t xml:space="preserve"> сплачує такій добросовісній стороні штраф </w:t>
      </w:r>
      <w:r w:rsidR="007B6694">
        <w:rPr>
          <w:rFonts w:ascii="Times New Roman" w:eastAsia="TimesNewRoman" w:hAnsi="Times New Roman"/>
          <w:sz w:val="24"/>
          <w:szCs w:val="24"/>
          <w:lang w:eastAsia="ru-RU"/>
        </w:rPr>
        <w:t xml:space="preserve">у розмірі, визначеному цим Положенням та </w:t>
      </w:r>
      <w:r w:rsidR="003E325F" w:rsidRPr="005D1193">
        <w:rPr>
          <w:rFonts w:ascii="Times New Roman" w:eastAsia="TimesNewRoman" w:hAnsi="Times New Roman"/>
          <w:sz w:val="24"/>
          <w:szCs w:val="24"/>
          <w:lang w:eastAsia="ru-RU"/>
        </w:rPr>
        <w:t>в порядку, що визначен</w:t>
      </w:r>
      <w:r w:rsidR="005620F0" w:rsidRPr="005D1193">
        <w:rPr>
          <w:rFonts w:ascii="Times New Roman" w:eastAsia="TimesNewRoman" w:hAnsi="Times New Roman"/>
          <w:sz w:val="24"/>
          <w:szCs w:val="24"/>
          <w:lang w:eastAsia="ru-RU"/>
        </w:rPr>
        <w:t>ий</w:t>
      </w:r>
      <w:r w:rsidR="003E325F" w:rsidRPr="005D1193">
        <w:rPr>
          <w:rFonts w:ascii="Times New Roman" w:eastAsia="TimesNewRoman" w:hAnsi="Times New Roman"/>
          <w:sz w:val="24"/>
          <w:szCs w:val="24"/>
          <w:lang w:eastAsia="ru-RU"/>
        </w:rPr>
        <w:t xml:space="preserve"> </w:t>
      </w:r>
      <w:r w:rsidR="003E325F" w:rsidRPr="005D1193">
        <w:rPr>
          <w:rFonts w:ascii="Times New Roman" w:hAnsi="Times New Roman"/>
          <w:sz w:val="24"/>
          <w:szCs w:val="24"/>
        </w:rPr>
        <w:t>Регламентом провадження клірингової діяльності Розрахункового центру</w:t>
      </w:r>
      <w:r w:rsidRPr="005D1193">
        <w:rPr>
          <w:rFonts w:ascii="Times New Roman" w:eastAsia="TimesNewRoman" w:hAnsi="Times New Roman"/>
          <w:sz w:val="24"/>
          <w:szCs w:val="24"/>
          <w:lang w:eastAsia="ru-RU"/>
        </w:rPr>
        <w:t xml:space="preserve">. </w:t>
      </w:r>
    </w:p>
    <w:p w14:paraId="3EBD828D" w14:textId="2CAA260F" w:rsidR="007C7926" w:rsidRPr="005D1193" w:rsidRDefault="00320C9B" w:rsidP="000A39DA">
      <w:pPr>
        <w:tabs>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5</w:t>
      </w:r>
      <w:r w:rsidR="00C37668" w:rsidRPr="005D1193">
        <w:rPr>
          <w:rFonts w:ascii="Times New Roman" w:eastAsia="TimesNewRoman" w:hAnsi="Times New Roman"/>
          <w:sz w:val="24"/>
          <w:szCs w:val="24"/>
          <w:lang w:eastAsia="ru-RU"/>
        </w:rPr>
        <w:t>.</w:t>
      </w:r>
      <w:r w:rsidR="008A2641" w:rsidRPr="005D1193">
        <w:rPr>
          <w:rFonts w:ascii="Times New Roman" w:eastAsia="TimesNewRoman" w:hAnsi="Times New Roman"/>
          <w:sz w:val="24"/>
          <w:szCs w:val="24"/>
          <w:lang w:eastAsia="ru-RU"/>
        </w:rPr>
        <w:t>7</w:t>
      </w:r>
      <w:r w:rsidR="00C37668" w:rsidRPr="005D1193">
        <w:rPr>
          <w:rFonts w:ascii="Times New Roman" w:eastAsia="TimesNewRoman" w:hAnsi="Times New Roman"/>
          <w:sz w:val="24"/>
          <w:szCs w:val="24"/>
          <w:lang w:eastAsia="ru-RU"/>
        </w:rPr>
        <w:t>.</w:t>
      </w:r>
      <w:r w:rsidR="00461444" w:rsidRPr="005D1193">
        <w:rPr>
          <w:rFonts w:ascii="Times New Roman" w:eastAsia="TimesNewRoman" w:hAnsi="Times New Roman"/>
          <w:sz w:val="24"/>
          <w:szCs w:val="24"/>
          <w:lang w:eastAsia="ru-RU"/>
        </w:rPr>
        <w:t xml:space="preserve"> </w:t>
      </w:r>
      <w:r w:rsidR="007C7926" w:rsidRPr="005D1193">
        <w:rPr>
          <w:rFonts w:ascii="Times New Roman" w:eastAsia="TimesNewRoman" w:hAnsi="Times New Roman"/>
          <w:sz w:val="24"/>
          <w:szCs w:val="24"/>
          <w:lang w:eastAsia="ru-RU"/>
        </w:rPr>
        <w:t>Розрахунковий центр приймає на себе ризик невиконання учасником клірингу зобов</w:t>
      </w:r>
      <w:r w:rsidR="005F41FA" w:rsidRPr="005D1193">
        <w:rPr>
          <w:rFonts w:ascii="Times New Roman" w:eastAsia="TimesNewRoman" w:hAnsi="Times New Roman"/>
          <w:sz w:val="24"/>
          <w:szCs w:val="24"/>
          <w:lang w:eastAsia="ru-RU"/>
        </w:rPr>
        <w:t>’</w:t>
      </w:r>
      <w:r w:rsidR="007C7926" w:rsidRPr="005D1193">
        <w:rPr>
          <w:rFonts w:ascii="Times New Roman" w:eastAsia="TimesNewRoman" w:hAnsi="Times New Roman"/>
          <w:sz w:val="24"/>
          <w:szCs w:val="24"/>
          <w:lang w:eastAsia="ru-RU"/>
        </w:rPr>
        <w:t xml:space="preserve">язань виключно в межах </w:t>
      </w:r>
      <w:r w:rsidR="008A2641" w:rsidRPr="005D1193">
        <w:rPr>
          <w:rFonts w:ascii="Times New Roman" w:eastAsia="TimesNewRoman" w:hAnsi="Times New Roman"/>
          <w:sz w:val="24"/>
          <w:szCs w:val="24"/>
          <w:lang w:eastAsia="ru-RU"/>
        </w:rPr>
        <w:t>г</w:t>
      </w:r>
      <w:r w:rsidR="007C7926" w:rsidRPr="005D1193">
        <w:rPr>
          <w:rFonts w:ascii="Times New Roman" w:eastAsia="TimesNewRoman" w:hAnsi="Times New Roman"/>
          <w:sz w:val="24"/>
          <w:szCs w:val="24"/>
          <w:lang w:eastAsia="ru-RU"/>
        </w:rPr>
        <w:t>арантійного забезпечення</w:t>
      </w:r>
      <w:r w:rsidR="00764B9D" w:rsidRPr="005D1193">
        <w:rPr>
          <w:rFonts w:ascii="Times New Roman" w:eastAsia="TimesNewRoman" w:hAnsi="Times New Roman"/>
          <w:sz w:val="24"/>
          <w:szCs w:val="24"/>
          <w:lang w:eastAsia="ru-RU"/>
        </w:rPr>
        <w:t>,</w:t>
      </w:r>
      <w:r w:rsidR="007C7926" w:rsidRPr="005D1193">
        <w:rPr>
          <w:rFonts w:ascii="Times New Roman" w:eastAsia="TimesNewRoman" w:hAnsi="Times New Roman"/>
          <w:sz w:val="24"/>
          <w:szCs w:val="24"/>
          <w:lang w:eastAsia="ru-RU"/>
        </w:rPr>
        <w:t xml:space="preserve"> внесеного учасником клірингу для виконання своїх </w:t>
      </w:r>
      <w:r w:rsidR="00D07D76" w:rsidRPr="005D1193">
        <w:rPr>
          <w:rFonts w:ascii="Times New Roman" w:eastAsia="TimesNewRoman" w:hAnsi="Times New Roman"/>
          <w:sz w:val="24"/>
          <w:szCs w:val="24"/>
          <w:lang w:eastAsia="ru-RU"/>
        </w:rPr>
        <w:t>зобов</w:t>
      </w:r>
      <w:r w:rsidR="005F41FA" w:rsidRPr="005D1193">
        <w:rPr>
          <w:rFonts w:ascii="Times New Roman" w:eastAsia="TimesNewRoman" w:hAnsi="Times New Roman"/>
          <w:sz w:val="24"/>
          <w:szCs w:val="24"/>
          <w:lang w:eastAsia="ru-RU"/>
        </w:rPr>
        <w:t>’</w:t>
      </w:r>
      <w:r w:rsidR="00D07D76" w:rsidRPr="005D1193">
        <w:rPr>
          <w:rFonts w:ascii="Times New Roman" w:eastAsia="TimesNewRoman" w:hAnsi="Times New Roman"/>
          <w:sz w:val="24"/>
          <w:szCs w:val="24"/>
          <w:lang w:eastAsia="ru-RU"/>
        </w:rPr>
        <w:t>язань</w:t>
      </w:r>
      <w:r w:rsidR="007B7B4F" w:rsidRPr="005D1193">
        <w:rPr>
          <w:rFonts w:ascii="Times New Roman" w:eastAsia="TimesNewRoman" w:hAnsi="Times New Roman"/>
          <w:sz w:val="24"/>
          <w:szCs w:val="24"/>
          <w:lang w:eastAsia="ru-RU"/>
        </w:rPr>
        <w:t>.</w:t>
      </w:r>
      <w:r w:rsidR="009124AF" w:rsidRPr="005D1193">
        <w:rPr>
          <w:rFonts w:ascii="Times New Roman" w:eastAsia="TimesNewRoman" w:hAnsi="Times New Roman"/>
          <w:sz w:val="24"/>
          <w:szCs w:val="24"/>
          <w:lang w:eastAsia="ru-RU"/>
        </w:rPr>
        <w:t xml:space="preserve"> </w:t>
      </w:r>
    </w:p>
    <w:p w14:paraId="2C826C12" w14:textId="4B44B348" w:rsidR="006B31B4" w:rsidRPr="005D1193" w:rsidRDefault="00320C9B" w:rsidP="000A39DA">
      <w:pPr>
        <w:tabs>
          <w:tab w:val="left" w:pos="993"/>
          <w:tab w:val="left" w:pos="1560"/>
        </w:tabs>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5</w:t>
      </w:r>
      <w:r w:rsidR="00CA0463" w:rsidRPr="005D1193">
        <w:rPr>
          <w:rFonts w:ascii="Times New Roman" w:eastAsia="TimesNewRoman" w:hAnsi="Times New Roman"/>
          <w:sz w:val="24"/>
          <w:szCs w:val="24"/>
          <w:lang w:eastAsia="ru-RU"/>
        </w:rPr>
        <w:t>.</w:t>
      </w:r>
      <w:r w:rsidR="00E5552C" w:rsidRPr="005D1193">
        <w:rPr>
          <w:rFonts w:ascii="Times New Roman" w:eastAsia="TimesNewRoman" w:hAnsi="Times New Roman"/>
          <w:sz w:val="24"/>
          <w:szCs w:val="24"/>
          <w:lang w:eastAsia="ru-RU"/>
        </w:rPr>
        <w:t>8</w:t>
      </w:r>
      <w:r w:rsidR="006B31B4" w:rsidRPr="005D1193">
        <w:rPr>
          <w:rFonts w:ascii="Times New Roman" w:eastAsia="TimesNewRoman" w:hAnsi="Times New Roman"/>
          <w:sz w:val="24"/>
          <w:szCs w:val="24"/>
          <w:lang w:eastAsia="ru-RU"/>
        </w:rPr>
        <w:t xml:space="preserve">. </w:t>
      </w:r>
      <w:r w:rsidR="00F065E6">
        <w:rPr>
          <w:rFonts w:ascii="Times New Roman" w:eastAsia="TimesNewRoman" w:hAnsi="Times New Roman"/>
          <w:sz w:val="24"/>
          <w:szCs w:val="24"/>
          <w:lang w:eastAsia="ru-RU"/>
        </w:rPr>
        <w:t>П</w:t>
      </w:r>
      <w:r w:rsidR="00F065E6">
        <w:rPr>
          <w:rFonts w:ascii="Times New Roman" w:hAnsi="Times New Roman"/>
          <w:sz w:val="24"/>
          <w:szCs w:val="24"/>
        </w:rPr>
        <w:t>рипинення Розрахунковим центром зобов’язань за</w:t>
      </w:r>
      <w:r w:rsidR="00F065E6" w:rsidRPr="005D1193">
        <w:rPr>
          <w:rFonts w:ascii="Times New Roman" w:hAnsi="Times New Roman"/>
          <w:sz w:val="24"/>
          <w:szCs w:val="24"/>
        </w:rPr>
        <w:t xml:space="preserve"> </w:t>
      </w:r>
      <w:r w:rsidR="00F065E6">
        <w:rPr>
          <w:rFonts w:ascii="Times New Roman" w:hAnsi="Times New Roman"/>
          <w:sz w:val="24"/>
          <w:szCs w:val="24"/>
        </w:rPr>
        <w:t xml:space="preserve">договором РЕПО </w:t>
      </w:r>
      <w:r w:rsidR="00F065E6" w:rsidRPr="005D1193">
        <w:rPr>
          <w:rFonts w:ascii="Times New Roman" w:hAnsi="Times New Roman"/>
          <w:sz w:val="24"/>
          <w:szCs w:val="24"/>
        </w:rPr>
        <w:t xml:space="preserve">в результаті процедури </w:t>
      </w:r>
      <w:r w:rsidR="00F065E6" w:rsidRPr="005D1193">
        <w:rPr>
          <w:rFonts w:ascii="Times New Roman" w:eastAsia="TimesNewRoman" w:hAnsi="Times New Roman"/>
          <w:sz w:val="24"/>
          <w:szCs w:val="24"/>
          <w:lang w:eastAsia="ru-RU"/>
        </w:rPr>
        <w:t>примусового припинення зобов’язань</w:t>
      </w:r>
      <w:r w:rsidR="00F065E6" w:rsidRPr="005D1193">
        <w:rPr>
          <w:rFonts w:ascii="Times New Roman" w:hAnsi="Times New Roman"/>
          <w:sz w:val="24"/>
          <w:szCs w:val="24"/>
        </w:rPr>
        <w:t xml:space="preserve"> та/або </w:t>
      </w:r>
      <w:r w:rsidR="00F065E6" w:rsidRPr="005D1193">
        <w:rPr>
          <w:rFonts w:ascii="Times New Roman" w:eastAsia="TimesNewRoman" w:hAnsi="Times New Roman"/>
          <w:sz w:val="24"/>
          <w:szCs w:val="24"/>
          <w:lang w:eastAsia="ru-RU"/>
        </w:rPr>
        <w:t>процедури ліквідаційного неттінгу</w:t>
      </w:r>
      <w:r w:rsidR="00F065E6">
        <w:rPr>
          <w:rFonts w:ascii="Times New Roman" w:hAnsi="Times New Roman"/>
          <w:sz w:val="24"/>
          <w:szCs w:val="24"/>
        </w:rPr>
        <w:t xml:space="preserve"> </w:t>
      </w:r>
      <w:r w:rsidR="006B31B4" w:rsidRPr="005D1193">
        <w:rPr>
          <w:rFonts w:ascii="Times New Roman" w:eastAsia="TimesNewRoman" w:hAnsi="Times New Roman"/>
          <w:sz w:val="24"/>
          <w:szCs w:val="24"/>
          <w:lang w:eastAsia="ru-RU"/>
        </w:rPr>
        <w:t>не звільняє</w:t>
      </w:r>
      <w:r w:rsidR="00822AA4" w:rsidRPr="00822AA4">
        <w:rPr>
          <w:rFonts w:ascii="Times New Roman" w:eastAsia="TimesNewRoman" w:hAnsi="Times New Roman"/>
          <w:sz w:val="24"/>
          <w:szCs w:val="24"/>
          <w:lang w:eastAsia="ru-RU"/>
        </w:rPr>
        <w:t xml:space="preserve"> </w:t>
      </w:r>
      <w:r w:rsidR="00822AA4" w:rsidRPr="005D1193">
        <w:rPr>
          <w:rFonts w:ascii="Times New Roman" w:eastAsia="TimesNewRoman" w:hAnsi="Times New Roman"/>
          <w:sz w:val="24"/>
          <w:szCs w:val="24"/>
          <w:lang w:eastAsia="ru-RU"/>
        </w:rPr>
        <w:t>учасника клірингу</w:t>
      </w:r>
      <w:r w:rsidR="006B31B4" w:rsidRPr="005D1193">
        <w:rPr>
          <w:rFonts w:ascii="Times New Roman" w:eastAsia="TimesNewRoman" w:hAnsi="Times New Roman"/>
          <w:sz w:val="24"/>
          <w:szCs w:val="24"/>
          <w:lang w:eastAsia="ru-RU"/>
        </w:rPr>
        <w:t xml:space="preserve"> від сплати штрафів та комісій на користь Розрахункового центру</w:t>
      </w:r>
      <w:r w:rsidR="00F065E6">
        <w:rPr>
          <w:rFonts w:ascii="Times New Roman" w:eastAsia="TimesNewRoman" w:hAnsi="Times New Roman"/>
          <w:sz w:val="24"/>
          <w:szCs w:val="24"/>
          <w:lang w:eastAsia="ru-RU"/>
        </w:rPr>
        <w:t xml:space="preserve">, встановлених за припинення </w:t>
      </w:r>
      <w:r w:rsidR="00F065E6">
        <w:rPr>
          <w:rFonts w:ascii="Times New Roman" w:hAnsi="Times New Roman"/>
          <w:sz w:val="24"/>
          <w:szCs w:val="24"/>
        </w:rPr>
        <w:t>Розрахунковим центром зобов’язань за</w:t>
      </w:r>
      <w:r w:rsidR="00F065E6" w:rsidRPr="005D1193">
        <w:rPr>
          <w:rFonts w:ascii="Times New Roman" w:hAnsi="Times New Roman"/>
          <w:sz w:val="24"/>
          <w:szCs w:val="24"/>
        </w:rPr>
        <w:t xml:space="preserve"> </w:t>
      </w:r>
      <w:r w:rsidR="00F065E6">
        <w:rPr>
          <w:rFonts w:ascii="Times New Roman" w:hAnsi="Times New Roman"/>
          <w:sz w:val="24"/>
          <w:szCs w:val="24"/>
        </w:rPr>
        <w:t xml:space="preserve">договором РЕПО </w:t>
      </w:r>
      <w:r w:rsidR="00F065E6" w:rsidRPr="005D1193">
        <w:rPr>
          <w:rFonts w:ascii="Times New Roman" w:hAnsi="Times New Roman"/>
          <w:sz w:val="24"/>
          <w:szCs w:val="24"/>
        </w:rPr>
        <w:t xml:space="preserve">в результаті процедури </w:t>
      </w:r>
      <w:r w:rsidR="00F065E6" w:rsidRPr="005D1193">
        <w:rPr>
          <w:rFonts w:ascii="Times New Roman" w:eastAsia="TimesNewRoman" w:hAnsi="Times New Roman"/>
          <w:sz w:val="24"/>
          <w:szCs w:val="24"/>
          <w:lang w:eastAsia="ru-RU"/>
        </w:rPr>
        <w:t>примусового припинення зобов’язань</w:t>
      </w:r>
      <w:r w:rsidR="00F065E6" w:rsidRPr="005D1193">
        <w:rPr>
          <w:rFonts w:ascii="Times New Roman" w:hAnsi="Times New Roman"/>
          <w:sz w:val="24"/>
          <w:szCs w:val="24"/>
        </w:rPr>
        <w:t xml:space="preserve"> та/або </w:t>
      </w:r>
      <w:r w:rsidR="00F065E6" w:rsidRPr="005D1193">
        <w:rPr>
          <w:rFonts w:ascii="Times New Roman" w:eastAsia="TimesNewRoman" w:hAnsi="Times New Roman"/>
          <w:sz w:val="24"/>
          <w:szCs w:val="24"/>
          <w:lang w:eastAsia="ru-RU"/>
        </w:rPr>
        <w:t>процедури ліквідаційного неттінгу</w:t>
      </w:r>
      <w:r w:rsidR="006B31B4" w:rsidRPr="005D1193">
        <w:rPr>
          <w:rFonts w:ascii="Times New Roman" w:eastAsia="TimesNewRoman" w:hAnsi="Times New Roman"/>
          <w:sz w:val="24"/>
          <w:szCs w:val="24"/>
          <w:lang w:eastAsia="ru-RU"/>
        </w:rPr>
        <w:t xml:space="preserve">. Штрафи та комісії сплачуються учасником клірингу відповідно до тарифів Розрахункового центру та/або договорів, укладених Розрахунковим центром з учасниками клірингу. </w:t>
      </w:r>
    </w:p>
    <w:p w14:paraId="0CCED862" w14:textId="42C6E217" w:rsidR="0062389A" w:rsidRPr="005D1193" w:rsidRDefault="00320C9B"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5</w:t>
      </w:r>
      <w:r w:rsidR="006B31B4" w:rsidRPr="005D1193">
        <w:rPr>
          <w:rFonts w:ascii="Times New Roman" w:hAnsi="Times New Roman"/>
          <w:sz w:val="24"/>
          <w:szCs w:val="24"/>
        </w:rPr>
        <w:t>.</w:t>
      </w:r>
      <w:r w:rsidR="00693F3B" w:rsidRPr="005D1193">
        <w:rPr>
          <w:rFonts w:ascii="Times New Roman" w:hAnsi="Times New Roman"/>
          <w:sz w:val="24"/>
          <w:szCs w:val="24"/>
        </w:rPr>
        <w:t>9</w:t>
      </w:r>
      <w:r w:rsidR="006B31B4" w:rsidRPr="005D1193">
        <w:rPr>
          <w:rFonts w:ascii="Times New Roman" w:hAnsi="Times New Roman"/>
          <w:sz w:val="24"/>
          <w:szCs w:val="24"/>
        </w:rPr>
        <w:t xml:space="preserve">. </w:t>
      </w:r>
      <w:r w:rsidR="00461444" w:rsidRPr="005D1193">
        <w:rPr>
          <w:rFonts w:ascii="Times New Roman" w:hAnsi="Times New Roman"/>
          <w:sz w:val="24"/>
          <w:szCs w:val="24"/>
        </w:rPr>
        <w:t>Для запобігання виникнення ринкових ризиків</w:t>
      </w:r>
      <w:r w:rsidR="00C1105F" w:rsidRPr="005D1193">
        <w:rPr>
          <w:rFonts w:ascii="Times New Roman" w:hAnsi="Times New Roman"/>
          <w:sz w:val="24"/>
          <w:szCs w:val="24"/>
        </w:rPr>
        <w:t xml:space="preserve"> </w:t>
      </w:r>
      <w:r w:rsidR="00461444" w:rsidRPr="005D1193">
        <w:rPr>
          <w:rFonts w:ascii="Times New Roman" w:hAnsi="Times New Roman"/>
          <w:sz w:val="24"/>
          <w:szCs w:val="24"/>
        </w:rPr>
        <w:t>Розрахунковий центр здійснює моніторинг та прогнозування динаміки</w:t>
      </w:r>
      <w:r w:rsidR="00E27E85" w:rsidRPr="005D1193">
        <w:rPr>
          <w:rFonts w:ascii="Times New Roman" w:hAnsi="Times New Roman"/>
          <w:sz w:val="24"/>
          <w:szCs w:val="24"/>
        </w:rPr>
        <w:t xml:space="preserve"> коливання цін</w:t>
      </w:r>
      <w:r w:rsidR="004C3F3F" w:rsidRPr="005D1193">
        <w:rPr>
          <w:rFonts w:ascii="Times New Roman" w:hAnsi="Times New Roman"/>
          <w:sz w:val="24"/>
          <w:szCs w:val="24"/>
        </w:rPr>
        <w:t xml:space="preserve"> на цінні папери, </w:t>
      </w:r>
      <w:r w:rsidR="0062389A" w:rsidRPr="005D1193">
        <w:rPr>
          <w:rFonts w:ascii="Times New Roman" w:hAnsi="Times New Roman"/>
          <w:sz w:val="24"/>
          <w:szCs w:val="24"/>
        </w:rPr>
        <w:t xml:space="preserve">які допущені до торгів в режимі </w:t>
      </w:r>
      <w:r w:rsidR="00F43030" w:rsidRPr="005D1193">
        <w:rPr>
          <w:rFonts w:ascii="Times New Roman" w:hAnsi="Times New Roman"/>
          <w:sz w:val="24"/>
          <w:szCs w:val="24"/>
        </w:rPr>
        <w:t>«</w:t>
      </w:r>
      <w:r w:rsidR="0062389A" w:rsidRPr="005D1193">
        <w:rPr>
          <w:rFonts w:ascii="Times New Roman" w:hAnsi="Times New Roman"/>
          <w:sz w:val="24"/>
          <w:szCs w:val="24"/>
        </w:rPr>
        <w:t>РЕПО з контролем ризиків</w:t>
      </w:r>
      <w:r w:rsidR="00F43030" w:rsidRPr="005D1193">
        <w:rPr>
          <w:rFonts w:ascii="Times New Roman" w:hAnsi="Times New Roman"/>
          <w:sz w:val="24"/>
          <w:szCs w:val="24"/>
        </w:rPr>
        <w:t>»</w:t>
      </w:r>
      <w:r w:rsidR="0062389A" w:rsidRPr="005D1193">
        <w:rPr>
          <w:rFonts w:ascii="Times New Roman" w:hAnsi="Times New Roman"/>
          <w:sz w:val="24"/>
          <w:szCs w:val="24"/>
        </w:rPr>
        <w:t xml:space="preserve"> або приймаються в якості гарантійного забезпечення.</w:t>
      </w:r>
    </w:p>
    <w:p w14:paraId="01D40F81" w14:textId="434645A9" w:rsidR="005A57FF" w:rsidRPr="005D1193" w:rsidRDefault="005A57FF" w:rsidP="000A39DA">
      <w:pPr>
        <w:tabs>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5.</w:t>
      </w:r>
      <w:r w:rsidR="00CD6306" w:rsidRPr="005D1193">
        <w:rPr>
          <w:rFonts w:ascii="Times New Roman" w:eastAsia="TimesNewRoman" w:hAnsi="Times New Roman"/>
          <w:sz w:val="24"/>
          <w:szCs w:val="24"/>
          <w:lang w:eastAsia="ru-RU"/>
        </w:rPr>
        <w:t>10</w:t>
      </w:r>
      <w:r w:rsidRPr="005D1193">
        <w:rPr>
          <w:rFonts w:ascii="Times New Roman" w:eastAsia="TimesNewRoman" w:hAnsi="Times New Roman"/>
          <w:sz w:val="24"/>
          <w:szCs w:val="24"/>
          <w:lang w:eastAsia="ru-RU"/>
        </w:rPr>
        <w:t>. Підхід Розрахункового центру щодо управління ризиком ліквідності полягає у забезпеченні здатності Розрахункового центру виконувати свої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 xml:space="preserve">язання в повному обсязі та своєчасно як за нормальних ринкових умов, так і в разі настання непередбачених надзвичайних ситуацій без виникнення неприйнятних збитків та ризику нанесення збитку репутації. </w:t>
      </w:r>
    </w:p>
    <w:p w14:paraId="3F637220" w14:textId="693D55EF" w:rsidR="005A57FF" w:rsidRPr="005D1193" w:rsidRDefault="005A57FF" w:rsidP="000A39DA">
      <w:pPr>
        <w:tabs>
          <w:tab w:val="left" w:pos="993"/>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5.</w:t>
      </w:r>
      <w:r w:rsidR="00CA129D" w:rsidRPr="005D1193">
        <w:rPr>
          <w:rFonts w:ascii="Times New Roman" w:eastAsia="TimesNewRoman" w:hAnsi="Times New Roman"/>
          <w:sz w:val="24"/>
          <w:szCs w:val="24"/>
          <w:lang w:eastAsia="ru-RU"/>
        </w:rPr>
        <w:t>11</w:t>
      </w:r>
      <w:r w:rsidRPr="005D1193">
        <w:rPr>
          <w:rFonts w:ascii="Times New Roman" w:eastAsia="TimesNewRoman" w:hAnsi="Times New Roman"/>
          <w:sz w:val="24"/>
          <w:szCs w:val="24"/>
          <w:lang w:eastAsia="ru-RU"/>
        </w:rPr>
        <w:t>. Для управління ризиком ліквідності Розрахункового центру Розрахунковий центр створює систему управління ліквідністю, яка включає:</w:t>
      </w:r>
    </w:p>
    <w:p w14:paraId="651DFA2F" w14:textId="77777777" w:rsidR="005A57FF" w:rsidRPr="005D1193" w:rsidRDefault="005A57FF"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lastRenderedPageBreak/>
        <w:t xml:space="preserve">дотримання банківських нормативів відповідно до нормативно-правових актів НБУ; </w:t>
      </w:r>
    </w:p>
    <w:p w14:paraId="4A13D5A2" w14:textId="77777777" w:rsidR="005A57FF" w:rsidRPr="005D1193" w:rsidRDefault="005A57FF"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 xml:space="preserve">запровадження короткострокового та середньострокового планування грошових потоків; </w:t>
      </w:r>
    </w:p>
    <w:p w14:paraId="75F78BA7" w14:textId="77777777" w:rsidR="005A57FF" w:rsidRPr="005D1193" w:rsidRDefault="005A57FF"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оцінку потреби Розрахункового центру в ліквідних коштах;</w:t>
      </w:r>
    </w:p>
    <w:p w14:paraId="34B583C6" w14:textId="77777777" w:rsidR="005A57FF" w:rsidRPr="005D1193" w:rsidRDefault="005A57FF"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 xml:space="preserve">отримання підтримки ліквідності з боку НБУ через операції рефінансування та операції прямого РЕПО; </w:t>
      </w:r>
    </w:p>
    <w:p w14:paraId="328D1161" w14:textId="77777777" w:rsidR="005A57FF" w:rsidRPr="005D1193" w:rsidRDefault="005A57FF"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постійний моніторинг ризику ліквідності учасників клірингу;</w:t>
      </w:r>
    </w:p>
    <w:p w14:paraId="68E096E5" w14:textId="79EB4580" w:rsidR="005A57FF" w:rsidRPr="005D1193" w:rsidRDefault="005A57FF" w:rsidP="000A39DA">
      <w:pPr>
        <w:pStyle w:val="a5"/>
        <w:numPr>
          <w:ilvl w:val="0"/>
          <w:numId w:val="2"/>
        </w:numPr>
        <w:tabs>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заходи з врегулювання невиконаних учасником клірингу зобов</w:t>
      </w:r>
      <w:r w:rsidR="005F41FA" w:rsidRPr="005D1193">
        <w:rPr>
          <w:rFonts w:ascii="Times New Roman" w:eastAsia="TimesNewRoman" w:hAnsi="Times New Roman"/>
          <w:sz w:val="24"/>
          <w:szCs w:val="24"/>
          <w:lang w:eastAsia="ru-RU"/>
        </w:rPr>
        <w:t>’</w:t>
      </w:r>
      <w:r w:rsidRPr="005D1193">
        <w:rPr>
          <w:rFonts w:ascii="Times New Roman" w:eastAsia="TimesNewRoman" w:hAnsi="Times New Roman"/>
          <w:sz w:val="24"/>
          <w:szCs w:val="24"/>
          <w:lang w:eastAsia="ru-RU"/>
        </w:rPr>
        <w:t>язань щодо оплати цінних паперів чи їх поставки.</w:t>
      </w:r>
    </w:p>
    <w:p w14:paraId="0B09B52C" w14:textId="77777777" w:rsidR="005A57FF" w:rsidRPr="005D1193" w:rsidRDefault="005A57FF" w:rsidP="000A39DA">
      <w:pPr>
        <w:pStyle w:val="a5"/>
        <w:tabs>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Також з метою управління ризиком ліквідності Розрахунковий центр відповідно</w:t>
      </w:r>
      <w:r w:rsidRPr="005D1193">
        <w:rPr>
          <w:rFonts w:ascii="Times New Roman" w:hAnsi="Times New Roman"/>
          <w:sz w:val="24"/>
          <w:szCs w:val="24"/>
        </w:rPr>
        <w:t xml:space="preserve"> до інвестиційної політики Розрахункового центру</w:t>
      </w:r>
      <w:r w:rsidRPr="005D1193">
        <w:rPr>
          <w:rFonts w:ascii="Times New Roman" w:eastAsia="TimesNewRoman" w:hAnsi="Times New Roman"/>
          <w:sz w:val="24"/>
          <w:szCs w:val="24"/>
          <w:lang w:eastAsia="ru-RU"/>
        </w:rPr>
        <w:t xml:space="preserve"> здійснює заходи, спрямовані на збільшення ліквідності активів, якими Розрахунковий центр розпоряджається під час провадження клірингової діяльності </w:t>
      </w:r>
      <w:r w:rsidRPr="005D1193">
        <w:rPr>
          <w:rFonts w:ascii="Times New Roman" w:hAnsi="Times New Roman"/>
          <w:sz w:val="24"/>
          <w:szCs w:val="24"/>
        </w:rPr>
        <w:t>як центральний контрагент</w:t>
      </w:r>
      <w:r w:rsidRPr="005D1193">
        <w:rPr>
          <w:rFonts w:ascii="Times New Roman" w:eastAsia="TimesNewRoman" w:hAnsi="Times New Roman"/>
          <w:sz w:val="24"/>
          <w:szCs w:val="24"/>
          <w:lang w:eastAsia="ru-RU"/>
        </w:rPr>
        <w:t xml:space="preserve"> (активи, що складають </w:t>
      </w:r>
      <w:r w:rsidRPr="005D1193">
        <w:rPr>
          <w:rFonts w:ascii="Times New Roman" w:hAnsi="Times New Roman"/>
          <w:sz w:val="24"/>
          <w:szCs w:val="24"/>
        </w:rPr>
        <w:t>гарантійне забезпечення, а також</w:t>
      </w:r>
      <w:r w:rsidRPr="005D1193">
        <w:rPr>
          <w:rFonts w:ascii="Times New Roman" w:eastAsia="TimesNewRoman" w:hAnsi="Times New Roman"/>
          <w:sz w:val="24"/>
          <w:szCs w:val="24"/>
          <w:lang w:eastAsia="ru-RU"/>
        </w:rPr>
        <w:t xml:space="preserve"> залишки коштів клієнтів Розрахункового центру</w:t>
      </w:r>
      <w:r w:rsidRPr="005D1193">
        <w:rPr>
          <w:rFonts w:ascii="Times New Roman" w:hAnsi="Times New Roman"/>
          <w:sz w:val="24"/>
          <w:szCs w:val="24"/>
        </w:rPr>
        <w:t xml:space="preserve"> на рахунках для здійснення розрахунків), </w:t>
      </w:r>
      <w:r w:rsidRPr="005D1193">
        <w:rPr>
          <w:rFonts w:ascii="Times New Roman" w:eastAsia="TimesNewRoman" w:hAnsi="Times New Roman"/>
          <w:sz w:val="24"/>
          <w:szCs w:val="24"/>
          <w:lang w:eastAsia="ru-RU"/>
        </w:rPr>
        <w:t>зокрема:</w:t>
      </w:r>
    </w:p>
    <w:p w14:paraId="0E7814A1" w14:textId="77777777" w:rsidR="005A57FF" w:rsidRPr="005D1193" w:rsidRDefault="005A57FF" w:rsidP="000A39DA">
      <w:pPr>
        <w:pStyle w:val="a5"/>
        <w:numPr>
          <w:ilvl w:val="0"/>
          <w:numId w:val="2"/>
        </w:numPr>
        <w:tabs>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купівля монетарних інструментів НБУ;</w:t>
      </w:r>
    </w:p>
    <w:p w14:paraId="2FBC2E72" w14:textId="59622039" w:rsidR="005A57FF" w:rsidRPr="005D1193" w:rsidRDefault="005A57FF" w:rsidP="000A39DA">
      <w:pPr>
        <w:pStyle w:val="a5"/>
        <w:numPr>
          <w:ilvl w:val="0"/>
          <w:numId w:val="2"/>
        </w:numPr>
        <w:tabs>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купівля державних цінних паперів</w:t>
      </w:r>
      <w:r w:rsidR="00B31AFB" w:rsidRPr="005D1193">
        <w:rPr>
          <w:rFonts w:ascii="Times New Roman" w:eastAsia="TimesNewRoman" w:hAnsi="Times New Roman"/>
          <w:sz w:val="24"/>
          <w:szCs w:val="24"/>
          <w:lang w:eastAsia="ru-RU"/>
        </w:rPr>
        <w:t>.</w:t>
      </w:r>
    </w:p>
    <w:p w14:paraId="6F8BEBD5" w14:textId="51D628EC" w:rsidR="00461444" w:rsidRPr="005D1193" w:rsidRDefault="00320C9B" w:rsidP="000A39DA">
      <w:pPr>
        <w:tabs>
          <w:tab w:val="left" w:pos="993"/>
          <w:tab w:val="left" w:pos="1560"/>
        </w:tabs>
        <w:spacing w:after="120" w:line="240" w:lineRule="auto"/>
        <w:ind w:firstLine="709"/>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5</w:t>
      </w:r>
      <w:r w:rsidR="00CA0463" w:rsidRPr="005D1193">
        <w:rPr>
          <w:rFonts w:ascii="Times New Roman" w:eastAsia="Times New Roman" w:hAnsi="Times New Roman"/>
          <w:sz w:val="24"/>
          <w:szCs w:val="24"/>
          <w:lang w:eastAsia="ru-RU"/>
        </w:rPr>
        <w:t>.</w:t>
      </w:r>
      <w:r w:rsidR="00693F3B" w:rsidRPr="005D1193">
        <w:rPr>
          <w:rFonts w:ascii="Times New Roman" w:eastAsia="Times New Roman" w:hAnsi="Times New Roman"/>
          <w:sz w:val="24"/>
          <w:szCs w:val="24"/>
          <w:lang w:eastAsia="ru-RU"/>
        </w:rPr>
        <w:t>1</w:t>
      </w:r>
      <w:r w:rsidR="00CA129D" w:rsidRPr="005D1193">
        <w:rPr>
          <w:rFonts w:ascii="Times New Roman" w:eastAsia="Times New Roman" w:hAnsi="Times New Roman"/>
          <w:sz w:val="24"/>
          <w:szCs w:val="24"/>
          <w:lang w:eastAsia="ru-RU"/>
        </w:rPr>
        <w:t>2</w:t>
      </w:r>
      <w:r w:rsidR="00CA0463" w:rsidRPr="005D1193">
        <w:rPr>
          <w:rFonts w:ascii="Times New Roman" w:eastAsia="Times New Roman" w:hAnsi="Times New Roman"/>
          <w:sz w:val="24"/>
          <w:szCs w:val="24"/>
          <w:lang w:eastAsia="ru-RU"/>
        </w:rPr>
        <w:t>.</w:t>
      </w:r>
      <w:r w:rsidR="00461444" w:rsidRPr="005D1193">
        <w:rPr>
          <w:rFonts w:ascii="Times New Roman" w:eastAsia="Times New Roman" w:hAnsi="Times New Roman"/>
          <w:sz w:val="24"/>
          <w:szCs w:val="24"/>
          <w:lang w:eastAsia="ru-RU"/>
        </w:rPr>
        <w:t xml:space="preserve"> Метою Розрахункового центру в частині управління і контролю над операційн</w:t>
      </w:r>
      <w:r w:rsidR="00030CA1" w:rsidRPr="005D1193">
        <w:rPr>
          <w:rFonts w:ascii="Times New Roman" w:eastAsia="Times New Roman" w:hAnsi="Times New Roman"/>
          <w:sz w:val="24"/>
          <w:szCs w:val="24"/>
          <w:lang w:eastAsia="ru-RU"/>
        </w:rPr>
        <w:t>и</w:t>
      </w:r>
      <w:r w:rsidR="003012A5" w:rsidRPr="005D1193">
        <w:rPr>
          <w:rFonts w:ascii="Times New Roman" w:eastAsia="Times New Roman" w:hAnsi="Times New Roman"/>
          <w:sz w:val="24"/>
          <w:szCs w:val="24"/>
          <w:lang w:eastAsia="ru-RU"/>
        </w:rPr>
        <w:t>ми</w:t>
      </w:r>
      <w:r w:rsidR="00461444" w:rsidRPr="005D1193">
        <w:rPr>
          <w:rFonts w:ascii="Times New Roman" w:eastAsia="Times New Roman" w:hAnsi="Times New Roman"/>
          <w:sz w:val="24"/>
          <w:szCs w:val="24"/>
          <w:lang w:eastAsia="ru-RU"/>
        </w:rPr>
        <w:t xml:space="preserve"> ризиками є мінімізація інформаційних та фінансових збитків, пов</w:t>
      </w:r>
      <w:r w:rsidR="005F41FA" w:rsidRPr="005D1193">
        <w:rPr>
          <w:rFonts w:ascii="Times New Roman" w:eastAsia="Times New Roman" w:hAnsi="Times New Roman"/>
          <w:sz w:val="24"/>
          <w:szCs w:val="24"/>
          <w:lang w:eastAsia="ru-RU"/>
        </w:rPr>
        <w:t>’</w:t>
      </w:r>
      <w:r w:rsidR="00461444" w:rsidRPr="005D1193">
        <w:rPr>
          <w:rFonts w:ascii="Times New Roman" w:eastAsia="Times New Roman" w:hAnsi="Times New Roman"/>
          <w:sz w:val="24"/>
          <w:szCs w:val="24"/>
          <w:lang w:eastAsia="ru-RU"/>
        </w:rPr>
        <w:t>язаних</w:t>
      </w:r>
      <w:r w:rsidR="007E4A6D" w:rsidRPr="005D1193">
        <w:rPr>
          <w:rFonts w:ascii="Times New Roman" w:eastAsia="Times New Roman" w:hAnsi="Times New Roman"/>
          <w:sz w:val="24"/>
          <w:szCs w:val="24"/>
          <w:lang w:eastAsia="ru-RU"/>
        </w:rPr>
        <w:t xml:space="preserve"> з</w:t>
      </w:r>
      <w:r w:rsidR="00461444" w:rsidRPr="005D1193">
        <w:rPr>
          <w:rFonts w:ascii="Times New Roman" w:eastAsia="Times New Roman" w:hAnsi="Times New Roman"/>
          <w:sz w:val="24"/>
          <w:szCs w:val="24"/>
          <w:lang w:eastAsia="ru-RU"/>
        </w:rPr>
        <w:t>:</w:t>
      </w:r>
    </w:p>
    <w:p w14:paraId="65E345C9" w14:textId="74BFD6A2" w:rsidR="00461444" w:rsidRPr="005D1193" w:rsidRDefault="00461444" w:rsidP="000A39DA">
      <w:pPr>
        <w:pStyle w:val="a5"/>
        <w:numPr>
          <w:ilvl w:val="0"/>
          <w:numId w:val="6"/>
        </w:numPr>
        <w:tabs>
          <w:tab w:val="left" w:pos="993"/>
          <w:tab w:val="left" w:pos="1134"/>
        </w:tabs>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 xml:space="preserve">відображенням операцій на рахунках бухгалтерського обліку в Автоматизованій банківській системі, на </w:t>
      </w:r>
      <w:r w:rsidR="006532CC" w:rsidRPr="005D1193">
        <w:rPr>
          <w:rFonts w:ascii="Times New Roman" w:eastAsia="Times New Roman" w:hAnsi="Times New Roman"/>
          <w:sz w:val="24"/>
          <w:szCs w:val="24"/>
          <w:lang w:eastAsia="ru-RU"/>
        </w:rPr>
        <w:t xml:space="preserve">клірингових </w:t>
      </w:r>
      <w:r w:rsidRPr="005D1193">
        <w:rPr>
          <w:rFonts w:ascii="Times New Roman" w:eastAsia="Times New Roman" w:hAnsi="Times New Roman"/>
          <w:sz w:val="24"/>
          <w:szCs w:val="24"/>
          <w:lang w:eastAsia="ru-RU"/>
        </w:rPr>
        <w:t>рахунках</w:t>
      </w:r>
      <w:r w:rsidR="00BC656F" w:rsidRPr="005D1193">
        <w:rPr>
          <w:rFonts w:ascii="Times New Roman" w:eastAsia="Times New Roman" w:hAnsi="Times New Roman"/>
          <w:sz w:val="24"/>
          <w:szCs w:val="24"/>
          <w:lang w:eastAsia="ru-RU"/>
        </w:rPr>
        <w:t xml:space="preserve"> </w:t>
      </w:r>
      <w:r w:rsidR="006532CC" w:rsidRPr="005D1193">
        <w:rPr>
          <w:rFonts w:ascii="Times New Roman" w:eastAsia="Times New Roman" w:hAnsi="Times New Roman"/>
          <w:sz w:val="24"/>
          <w:szCs w:val="24"/>
          <w:lang w:eastAsia="ru-RU"/>
        </w:rPr>
        <w:t>/</w:t>
      </w:r>
      <w:r w:rsidR="00BC656F" w:rsidRPr="005D1193">
        <w:rPr>
          <w:rFonts w:ascii="Times New Roman" w:eastAsia="Times New Roman" w:hAnsi="Times New Roman"/>
          <w:sz w:val="24"/>
          <w:szCs w:val="24"/>
          <w:lang w:eastAsia="ru-RU"/>
        </w:rPr>
        <w:t xml:space="preserve"> </w:t>
      </w:r>
      <w:r w:rsidR="006532CC" w:rsidRPr="005D1193">
        <w:rPr>
          <w:rFonts w:ascii="Times New Roman" w:eastAsia="Times New Roman" w:hAnsi="Times New Roman"/>
          <w:sz w:val="24"/>
          <w:szCs w:val="24"/>
          <w:lang w:eastAsia="ru-RU"/>
        </w:rPr>
        <w:t>субрахунках</w:t>
      </w:r>
      <w:r w:rsidRPr="005D1193">
        <w:rPr>
          <w:rFonts w:ascii="Times New Roman" w:eastAsia="Times New Roman" w:hAnsi="Times New Roman"/>
          <w:sz w:val="24"/>
          <w:szCs w:val="24"/>
          <w:lang w:eastAsia="ru-RU"/>
        </w:rPr>
        <w:t xml:space="preserve"> та на рахунках у цінних паперах Розрахункового центру та учасників клірингу, відкритих в Центральному депозитарії та у</w:t>
      </w:r>
      <w:r w:rsidR="00D05A2D" w:rsidRPr="005D1193">
        <w:rPr>
          <w:rFonts w:ascii="Times New Roman" w:eastAsia="Times New Roman" w:hAnsi="Times New Roman"/>
          <w:sz w:val="24"/>
          <w:szCs w:val="24"/>
          <w:lang w:eastAsia="ru-RU"/>
        </w:rPr>
        <w:t xml:space="preserve"> НБУ</w:t>
      </w:r>
      <w:r w:rsidRPr="005D1193">
        <w:rPr>
          <w:rFonts w:ascii="Times New Roman" w:eastAsia="Times New Roman" w:hAnsi="Times New Roman"/>
          <w:sz w:val="24"/>
          <w:szCs w:val="24"/>
          <w:lang w:eastAsia="ru-RU"/>
        </w:rPr>
        <w:t xml:space="preserve">, а також адекватність відображення такої облікової інформації у різних формах звітності Розрахункового центру, учасників клірингу, Центрального депозитарію та </w:t>
      </w:r>
      <w:r w:rsidR="00D05A2D" w:rsidRPr="005D1193">
        <w:rPr>
          <w:rFonts w:ascii="Times New Roman" w:eastAsia="Times New Roman" w:hAnsi="Times New Roman"/>
          <w:sz w:val="24"/>
          <w:szCs w:val="24"/>
          <w:lang w:eastAsia="ru-RU"/>
        </w:rPr>
        <w:t>НБУ</w:t>
      </w:r>
      <w:r w:rsidRPr="005D1193">
        <w:rPr>
          <w:rFonts w:ascii="Times New Roman" w:eastAsia="Times New Roman" w:hAnsi="Times New Roman"/>
          <w:sz w:val="24"/>
          <w:szCs w:val="24"/>
          <w:lang w:eastAsia="ru-RU"/>
        </w:rPr>
        <w:t xml:space="preserve">; </w:t>
      </w:r>
    </w:p>
    <w:p w14:paraId="5AF91027" w14:textId="77777777" w:rsidR="00461444" w:rsidRPr="005D1193" w:rsidRDefault="00461444" w:rsidP="000A39DA">
      <w:pPr>
        <w:pStyle w:val="a5"/>
        <w:numPr>
          <w:ilvl w:val="0"/>
          <w:numId w:val="6"/>
        </w:numPr>
        <w:tabs>
          <w:tab w:val="left" w:pos="709"/>
          <w:tab w:val="left" w:pos="993"/>
          <w:tab w:val="left" w:pos="1134"/>
        </w:tabs>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експлуатацією програмного забезпечення та технічних засобів;</w:t>
      </w:r>
    </w:p>
    <w:p w14:paraId="1FED83BC" w14:textId="77777777" w:rsidR="00461444" w:rsidRPr="005D1193" w:rsidRDefault="00461444" w:rsidP="000A39DA">
      <w:pPr>
        <w:pStyle w:val="a5"/>
        <w:numPr>
          <w:ilvl w:val="0"/>
          <w:numId w:val="6"/>
        </w:numPr>
        <w:tabs>
          <w:tab w:val="left" w:pos="993"/>
          <w:tab w:val="left" w:pos="1134"/>
        </w:tabs>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несанкціонованими операціями, доступом до інформації та до програмно-технічних засобів;</w:t>
      </w:r>
    </w:p>
    <w:p w14:paraId="75E3756C" w14:textId="77777777" w:rsidR="00461444" w:rsidRPr="005D1193" w:rsidRDefault="00461444" w:rsidP="000A39DA">
      <w:pPr>
        <w:pStyle w:val="a5"/>
        <w:numPr>
          <w:ilvl w:val="0"/>
          <w:numId w:val="6"/>
        </w:numPr>
        <w:tabs>
          <w:tab w:val="left" w:pos="709"/>
          <w:tab w:val="left" w:pos="993"/>
          <w:tab w:val="left" w:pos="1134"/>
        </w:tabs>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операційними помилками персоналу.</w:t>
      </w:r>
    </w:p>
    <w:p w14:paraId="321C9DEE" w14:textId="6DF08891" w:rsidR="00461444" w:rsidRPr="005D1193" w:rsidRDefault="00461444" w:rsidP="000A39DA">
      <w:pPr>
        <w:pStyle w:val="a5"/>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 xml:space="preserve">Управління </w:t>
      </w:r>
      <w:r w:rsidR="0037314B" w:rsidRPr="005D1193">
        <w:rPr>
          <w:rFonts w:ascii="Times New Roman" w:eastAsia="Times New Roman" w:hAnsi="Times New Roman"/>
          <w:sz w:val="24"/>
          <w:szCs w:val="24"/>
          <w:lang w:eastAsia="ru-RU"/>
        </w:rPr>
        <w:t>операційним</w:t>
      </w:r>
      <w:r w:rsidRPr="005D1193">
        <w:rPr>
          <w:rFonts w:ascii="Times New Roman" w:eastAsia="Times New Roman" w:hAnsi="Times New Roman"/>
          <w:sz w:val="24"/>
          <w:szCs w:val="24"/>
          <w:lang w:eastAsia="ru-RU"/>
        </w:rPr>
        <w:t xml:space="preserve"> ризик</w:t>
      </w:r>
      <w:r w:rsidR="0037314B" w:rsidRPr="005D1193">
        <w:rPr>
          <w:rFonts w:ascii="Times New Roman" w:eastAsia="Times New Roman" w:hAnsi="Times New Roman"/>
          <w:sz w:val="24"/>
          <w:szCs w:val="24"/>
          <w:lang w:eastAsia="ru-RU"/>
        </w:rPr>
        <w:t>ом</w:t>
      </w:r>
      <w:r w:rsidRPr="005D1193">
        <w:rPr>
          <w:rFonts w:ascii="Times New Roman" w:eastAsia="Times New Roman" w:hAnsi="Times New Roman"/>
          <w:sz w:val="24"/>
          <w:szCs w:val="24"/>
          <w:lang w:eastAsia="ru-RU"/>
        </w:rPr>
        <w:t xml:space="preserve"> полягає у наступному:</w:t>
      </w:r>
    </w:p>
    <w:p w14:paraId="0EE38A4E" w14:textId="77777777" w:rsidR="00461444" w:rsidRPr="005D1193" w:rsidRDefault="00461444" w:rsidP="000A39DA">
      <w:pPr>
        <w:pStyle w:val="a5"/>
        <w:numPr>
          <w:ilvl w:val="0"/>
          <w:numId w:val="26"/>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 xml:space="preserve">виявлення подій, обставин, факторів, що є (чи можуть стати) причинами операційно-технологічного ризику та розрахунок ймовірності їх виникнення; </w:t>
      </w:r>
    </w:p>
    <w:p w14:paraId="4A3D99D1" w14:textId="77777777" w:rsidR="00461444" w:rsidRPr="005D1193" w:rsidRDefault="00461444" w:rsidP="000A39DA">
      <w:pPr>
        <w:pStyle w:val="a5"/>
        <w:numPr>
          <w:ilvl w:val="0"/>
          <w:numId w:val="26"/>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 xml:space="preserve">розробка системи індикаторів операційно-технологічного ризику, встановлення лімітів щодо їх критичного значення та здійснення </w:t>
      </w:r>
      <w:r w:rsidR="006532CC" w:rsidRPr="005D1193">
        <w:rPr>
          <w:rFonts w:ascii="Times New Roman" w:eastAsia="Times New Roman" w:hAnsi="Times New Roman"/>
          <w:sz w:val="24"/>
          <w:szCs w:val="24"/>
          <w:lang w:eastAsia="ru-RU"/>
        </w:rPr>
        <w:t xml:space="preserve">їх </w:t>
      </w:r>
      <w:r w:rsidRPr="005D1193">
        <w:rPr>
          <w:rFonts w:ascii="Times New Roman" w:eastAsia="Times New Roman" w:hAnsi="Times New Roman"/>
          <w:sz w:val="24"/>
          <w:szCs w:val="24"/>
          <w:lang w:eastAsia="ru-RU"/>
        </w:rPr>
        <w:t>моніторингу;</w:t>
      </w:r>
    </w:p>
    <w:p w14:paraId="3842CBB5" w14:textId="77777777" w:rsidR="00461444" w:rsidRPr="005D1193" w:rsidRDefault="00461444" w:rsidP="000A39DA">
      <w:pPr>
        <w:pStyle w:val="a5"/>
        <w:numPr>
          <w:ilvl w:val="0"/>
          <w:numId w:val="26"/>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ведення бази даних про ризик-фактори операційно-технологічного ризику і проведення самооцінки ризику;</w:t>
      </w:r>
    </w:p>
    <w:p w14:paraId="758D9DFE" w14:textId="77777777" w:rsidR="00461444" w:rsidRPr="005D1193" w:rsidRDefault="00461444" w:rsidP="000A39DA">
      <w:pPr>
        <w:pStyle w:val="a5"/>
        <w:numPr>
          <w:ilvl w:val="0"/>
          <w:numId w:val="26"/>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проведення перевірки стійкості Розрахункового центру по відношенню до збоїв програмно-технічного забезпечення не рідше одного разу на рік;</w:t>
      </w:r>
    </w:p>
    <w:p w14:paraId="54F2FECD" w14:textId="5167BADA" w:rsidR="00461444" w:rsidRPr="005D1193" w:rsidRDefault="00461444" w:rsidP="000A39DA">
      <w:pPr>
        <w:pStyle w:val="a5"/>
        <w:numPr>
          <w:ilvl w:val="0"/>
          <w:numId w:val="26"/>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 xml:space="preserve">запровадження заходів щодо зниження операційно-технологічного ризику. </w:t>
      </w:r>
    </w:p>
    <w:p w14:paraId="1030B128" w14:textId="13F117A1" w:rsidR="00461444" w:rsidRPr="005D1193" w:rsidRDefault="00320C9B" w:rsidP="000A39DA">
      <w:pPr>
        <w:tabs>
          <w:tab w:val="left" w:pos="993"/>
          <w:tab w:val="left" w:pos="1560"/>
        </w:tabs>
        <w:spacing w:after="120" w:line="240" w:lineRule="auto"/>
        <w:ind w:firstLine="709"/>
        <w:jc w:val="both"/>
        <w:rPr>
          <w:rFonts w:ascii="Times New Roman" w:hAnsi="Times New Roman"/>
          <w:spacing w:val="-1"/>
          <w:sz w:val="24"/>
          <w:szCs w:val="24"/>
        </w:rPr>
      </w:pPr>
      <w:r w:rsidRPr="005D1193">
        <w:rPr>
          <w:rFonts w:ascii="Times New Roman" w:hAnsi="Times New Roman"/>
          <w:sz w:val="24"/>
          <w:szCs w:val="24"/>
        </w:rPr>
        <w:t>5</w:t>
      </w:r>
      <w:r w:rsidR="00CA0463" w:rsidRPr="005D1193">
        <w:rPr>
          <w:rFonts w:ascii="Times New Roman" w:hAnsi="Times New Roman"/>
          <w:sz w:val="24"/>
          <w:szCs w:val="24"/>
        </w:rPr>
        <w:t>.</w:t>
      </w:r>
      <w:r w:rsidR="000222F0" w:rsidRPr="005D1193">
        <w:rPr>
          <w:rFonts w:ascii="Times New Roman" w:hAnsi="Times New Roman"/>
          <w:sz w:val="24"/>
          <w:szCs w:val="24"/>
        </w:rPr>
        <w:t>1</w:t>
      </w:r>
      <w:r w:rsidR="00A85A57" w:rsidRPr="005D1193">
        <w:rPr>
          <w:rFonts w:ascii="Times New Roman" w:hAnsi="Times New Roman"/>
          <w:sz w:val="24"/>
          <w:szCs w:val="24"/>
        </w:rPr>
        <w:t>3</w:t>
      </w:r>
      <w:r w:rsidR="00CA0463" w:rsidRPr="005D1193">
        <w:rPr>
          <w:rFonts w:ascii="Times New Roman" w:hAnsi="Times New Roman"/>
          <w:sz w:val="24"/>
          <w:szCs w:val="24"/>
        </w:rPr>
        <w:t>.</w:t>
      </w:r>
      <w:r w:rsidR="00461444" w:rsidRPr="005D1193">
        <w:rPr>
          <w:rFonts w:ascii="Times New Roman" w:hAnsi="Times New Roman"/>
          <w:sz w:val="24"/>
          <w:szCs w:val="24"/>
        </w:rPr>
        <w:t xml:space="preserve"> Для управління </w:t>
      </w:r>
      <w:r w:rsidR="00B72CD0" w:rsidRPr="005D1193">
        <w:rPr>
          <w:rFonts w:ascii="Times New Roman" w:hAnsi="Times New Roman"/>
          <w:sz w:val="24"/>
          <w:szCs w:val="24"/>
        </w:rPr>
        <w:t>р</w:t>
      </w:r>
      <w:r w:rsidR="00B72CD0" w:rsidRPr="005D1193">
        <w:rPr>
          <w:rFonts w:ascii="Times New Roman" w:eastAsia="TimesNewRoman" w:hAnsi="Times New Roman"/>
          <w:sz w:val="24"/>
          <w:szCs w:val="24"/>
          <w:lang w:eastAsia="ru-RU"/>
        </w:rPr>
        <w:t xml:space="preserve">изиком втрати ділової репутації (репутаційним ризиком) </w:t>
      </w:r>
      <w:r w:rsidR="00CD4B26" w:rsidRPr="005D1193">
        <w:rPr>
          <w:rFonts w:ascii="Times New Roman" w:hAnsi="Times New Roman"/>
          <w:sz w:val="24"/>
          <w:szCs w:val="24"/>
        </w:rPr>
        <w:t>Розрахунковим центром</w:t>
      </w:r>
      <w:r w:rsidR="00461444" w:rsidRPr="005D1193">
        <w:rPr>
          <w:rFonts w:ascii="Times New Roman" w:hAnsi="Times New Roman"/>
          <w:spacing w:val="-1"/>
          <w:sz w:val="24"/>
          <w:szCs w:val="24"/>
        </w:rPr>
        <w:t xml:space="preserve"> запроваджуються наступні заходи:</w:t>
      </w:r>
    </w:p>
    <w:p w14:paraId="370911D1" w14:textId="77777777" w:rsidR="00461444" w:rsidRPr="005D1193" w:rsidRDefault="00461444" w:rsidP="000A39DA">
      <w:pPr>
        <w:numPr>
          <w:ilvl w:val="0"/>
          <w:numId w:val="11"/>
        </w:numPr>
        <w:tabs>
          <w:tab w:val="left" w:pos="993"/>
          <w:tab w:val="left" w:pos="1134"/>
        </w:tabs>
        <w:spacing w:after="120" w:line="240" w:lineRule="auto"/>
        <w:ind w:left="0" w:firstLine="709"/>
        <w:jc w:val="both"/>
        <w:rPr>
          <w:rFonts w:ascii="Times New Roman" w:hAnsi="Times New Roman"/>
          <w:spacing w:val="-1"/>
          <w:sz w:val="24"/>
          <w:szCs w:val="24"/>
        </w:rPr>
      </w:pPr>
      <w:r w:rsidRPr="005D1193">
        <w:rPr>
          <w:rFonts w:ascii="Times New Roman" w:hAnsi="Times New Roman"/>
          <w:spacing w:val="-1"/>
          <w:sz w:val="24"/>
          <w:szCs w:val="24"/>
        </w:rPr>
        <w:t>створення системи оцінки сприйняття іміджу Розрахункового центру у клієнтів, державних органів, в засобах масової інформації;</w:t>
      </w:r>
    </w:p>
    <w:p w14:paraId="71FD40EF" w14:textId="77777777" w:rsidR="00461444" w:rsidRPr="005D1193" w:rsidRDefault="00461444" w:rsidP="000A39DA">
      <w:pPr>
        <w:numPr>
          <w:ilvl w:val="0"/>
          <w:numId w:val="11"/>
        </w:numPr>
        <w:tabs>
          <w:tab w:val="left" w:pos="993"/>
          <w:tab w:val="left" w:pos="1134"/>
        </w:tabs>
        <w:spacing w:after="120" w:line="240" w:lineRule="auto"/>
        <w:ind w:left="0" w:firstLine="709"/>
        <w:jc w:val="both"/>
        <w:rPr>
          <w:rFonts w:ascii="Times New Roman" w:hAnsi="Times New Roman"/>
          <w:spacing w:val="-1"/>
          <w:sz w:val="24"/>
          <w:szCs w:val="24"/>
        </w:rPr>
      </w:pPr>
      <w:r w:rsidRPr="005D1193">
        <w:rPr>
          <w:rFonts w:ascii="Times New Roman" w:hAnsi="Times New Roman"/>
          <w:spacing w:val="-1"/>
          <w:sz w:val="24"/>
          <w:szCs w:val="24"/>
        </w:rPr>
        <w:t>оцінка поінформованості клієнтів, державних органів, засобів масової інформації про діяльність та роль Розрахункового центру на фінансовому ринку України;</w:t>
      </w:r>
    </w:p>
    <w:p w14:paraId="1BB11201" w14:textId="77777777" w:rsidR="00461444" w:rsidRPr="005D1193" w:rsidRDefault="00461444" w:rsidP="000A39DA">
      <w:pPr>
        <w:numPr>
          <w:ilvl w:val="0"/>
          <w:numId w:val="11"/>
        </w:numPr>
        <w:tabs>
          <w:tab w:val="left" w:pos="993"/>
          <w:tab w:val="left" w:pos="1134"/>
        </w:tabs>
        <w:spacing w:after="120" w:line="240" w:lineRule="auto"/>
        <w:ind w:left="0" w:firstLine="709"/>
        <w:jc w:val="both"/>
        <w:rPr>
          <w:rFonts w:ascii="Times New Roman" w:hAnsi="Times New Roman"/>
          <w:spacing w:val="-1"/>
          <w:sz w:val="24"/>
          <w:szCs w:val="24"/>
        </w:rPr>
      </w:pPr>
      <w:r w:rsidRPr="005D1193">
        <w:rPr>
          <w:rFonts w:ascii="Times New Roman" w:hAnsi="Times New Roman"/>
          <w:spacing w:val="-1"/>
          <w:sz w:val="24"/>
          <w:szCs w:val="24"/>
        </w:rPr>
        <w:t>впровадження процесу контролю за репутацією клієнтів Розрахункового центру з метою уникнення відносин із клієнтами із незадовільною репутацією;</w:t>
      </w:r>
    </w:p>
    <w:p w14:paraId="730C6988" w14:textId="77777777" w:rsidR="00461444" w:rsidRPr="005D1193" w:rsidRDefault="00461444" w:rsidP="000A39DA">
      <w:pPr>
        <w:numPr>
          <w:ilvl w:val="0"/>
          <w:numId w:val="11"/>
        </w:numPr>
        <w:tabs>
          <w:tab w:val="left" w:pos="993"/>
          <w:tab w:val="left" w:pos="1134"/>
        </w:tabs>
        <w:spacing w:after="120" w:line="240" w:lineRule="auto"/>
        <w:ind w:left="0" w:firstLine="709"/>
        <w:jc w:val="both"/>
        <w:rPr>
          <w:rFonts w:ascii="Times New Roman" w:hAnsi="Times New Roman"/>
          <w:spacing w:val="-1"/>
          <w:sz w:val="24"/>
          <w:szCs w:val="24"/>
        </w:rPr>
      </w:pPr>
      <w:r w:rsidRPr="005D1193">
        <w:rPr>
          <w:rFonts w:ascii="Times New Roman" w:hAnsi="Times New Roman"/>
          <w:spacing w:val="-1"/>
          <w:sz w:val="24"/>
          <w:szCs w:val="24"/>
        </w:rPr>
        <w:lastRenderedPageBreak/>
        <w:t>моніторинг відгуків клієнтів про Розрахунковий центр та його діяльність, повідомлень засобів масової інформації про Розрахунковий центр та його клієнтів;</w:t>
      </w:r>
    </w:p>
    <w:p w14:paraId="3E3976F3" w14:textId="3DA1AB95" w:rsidR="00461444" w:rsidRPr="005D1193" w:rsidRDefault="00461444" w:rsidP="000A39DA">
      <w:pPr>
        <w:numPr>
          <w:ilvl w:val="0"/>
          <w:numId w:val="11"/>
        </w:numPr>
        <w:tabs>
          <w:tab w:val="left" w:pos="993"/>
          <w:tab w:val="left" w:pos="1134"/>
        </w:tabs>
        <w:spacing w:after="120" w:line="240" w:lineRule="auto"/>
        <w:ind w:left="0" w:firstLine="709"/>
        <w:jc w:val="both"/>
        <w:rPr>
          <w:rFonts w:ascii="Times New Roman" w:hAnsi="Times New Roman"/>
          <w:spacing w:val="-1"/>
          <w:sz w:val="24"/>
          <w:szCs w:val="24"/>
        </w:rPr>
      </w:pPr>
      <w:r w:rsidRPr="005D1193">
        <w:rPr>
          <w:rFonts w:ascii="Times New Roman" w:hAnsi="Times New Roman"/>
          <w:spacing w:val="-1"/>
          <w:sz w:val="24"/>
          <w:szCs w:val="24"/>
        </w:rPr>
        <w:t>розміщення на вебсайті Розрахункового центру інформації про діяльність Розрахункового центру.</w:t>
      </w:r>
    </w:p>
    <w:p w14:paraId="5D803A8F" w14:textId="77777777" w:rsidR="003E7D7E" w:rsidRPr="005D1193" w:rsidRDefault="003E7D7E" w:rsidP="003E7D7E">
      <w:pPr>
        <w:tabs>
          <w:tab w:val="left" w:pos="993"/>
          <w:tab w:val="left" w:pos="1134"/>
        </w:tabs>
        <w:spacing w:after="120" w:line="240" w:lineRule="auto"/>
        <w:ind w:left="709"/>
        <w:jc w:val="both"/>
        <w:rPr>
          <w:rFonts w:ascii="Times New Roman" w:hAnsi="Times New Roman"/>
          <w:spacing w:val="-1"/>
          <w:sz w:val="24"/>
          <w:szCs w:val="24"/>
        </w:rPr>
      </w:pPr>
    </w:p>
    <w:p w14:paraId="1C4DB5F4" w14:textId="77777777" w:rsidR="00461444" w:rsidRPr="005D1193" w:rsidRDefault="00D35EA1" w:rsidP="00947CE3">
      <w:pPr>
        <w:pStyle w:val="a5"/>
        <w:shd w:val="clear" w:color="auto" w:fill="FFFFFF"/>
        <w:tabs>
          <w:tab w:val="left" w:pos="0"/>
          <w:tab w:val="left" w:pos="851"/>
          <w:tab w:val="left" w:pos="993"/>
        </w:tabs>
        <w:autoSpaceDE w:val="0"/>
        <w:autoSpaceDN w:val="0"/>
        <w:adjustRightInd w:val="0"/>
        <w:spacing w:after="120" w:line="240" w:lineRule="auto"/>
        <w:ind w:left="0"/>
        <w:contextualSpacing w:val="0"/>
        <w:jc w:val="center"/>
        <w:rPr>
          <w:rFonts w:ascii="Times New Roman" w:hAnsi="Times New Roman"/>
          <w:b/>
          <w:sz w:val="24"/>
          <w:szCs w:val="24"/>
        </w:rPr>
      </w:pPr>
      <w:r w:rsidRPr="005D1193">
        <w:rPr>
          <w:rFonts w:ascii="Times New Roman" w:hAnsi="Times New Roman"/>
          <w:b/>
          <w:sz w:val="24"/>
          <w:szCs w:val="24"/>
        </w:rPr>
        <w:t>6</w:t>
      </w:r>
      <w:r w:rsidR="00461444" w:rsidRPr="005D1193">
        <w:rPr>
          <w:rFonts w:ascii="Times New Roman" w:hAnsi="Times New Roman"/>
          <w:b/>
          <w:sz w:val="24"/>
          <w:szCs w:val="24"/>
        </w:rPr>
        <w:t>. Заходи зниження ризиків. Порядок та умови застосування відповідних заходів зниження ризиків</w:t>
      </w:r>
    </w:p>
    <w:p w14:paraId="6C4A160C" w14:textId="77777777" w:rsidR="00461444" w:rsidRPr="005D1193" w:rsidRDefault="00320C9B" w:rsidP="000A39DA">
      <w:pPr>
        <w:pStyle w:val="a5"/>
        <w:tabs>
          <w:tab w:val="left" w:pos="0"/>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6</w:t>
      </w:r>
      <w:r w:rsidR="00461444" w:rsidRPr="005D1193">
        <w:rPr>
          <w:rFonts w:ascii="Times New Roman" w:hAnsi="Times New Roman"/>
          <w:sz w:val="24"/>
          <w:szCs w:val="24"/>
        </w:rPr>
        <w:t xml:space="preserve">.1. </w:t>
      </w:r>
      <w:r w:rsidR="00461444" w:rsidRPr="005D1193">
        <w:rPr>
          <w:rFonts w:ascii="Times New Roman" w:eastAsia="TimesNewRoman" w:hAnsi="Times New Roman"/>
          <w:sz w:val="24"/>
          <w:szCs w:val="24"/>
          <w:lang w:eastAsia="ru-RU"/>
        </w:rPr>
        <w:t>Розрахунковий</w:t>
      </w:r>
      <w:r w:rsidR="00461444" w:rsidRPr="005D1193">
        <w:rPr>
          <w:rFonts w:ascii="Times New Roman" w:hAnsi="Times New Roman"/>
          <w:sz w:val="24"/>
          <w:szCs w:val="24"/>
        </w:rPr>
        <w:t xml:space="preserve"> центр як </w:t>
      </w:r>
      <w:r w:rsidR="00846E2F" w:rsidRPr="005D1193">
        <w:rPr>
          <w:rFonts w:ascii="Times New Roman" w:eastAsia="TimesNewRoman" w:hAnsi="Times New Roman"/>
          <w:sz w:val="24"/>
          <w:szCs w:val="24"/>
          <w:lang w:eastAsia="ru-RU"/>
        </w:rPr>
        <w:t>ц</w:t>
      </w:r>
      <w:r w:rsidR="00461444" w:rsidRPr="005D1193">
        <w:rPr>
          <w:rFonts w:ascii="Times New Roman" w:hAnsi="Times New Roman"/>
          <w:sz w:val="24"/>
          <w:szCs w:val="24"/>
        </w:rPr>
        <w:t xml:space="preserve">ентральний контрагент дотримується наступних загальних принципів </w:t>
      </w:r>
      <w:r w:rsidR="00332BCB" w:rsidRPr="005D1193">
        <w:rPr>
          <w:rFonts w:ascii="Times New Roman" w:hAnsi="Times New Roman"/>
          <w:sz w:val="24"/>
          <w:szCs w:val="24"/>
        </w:rPr>
        <w:t>зниження</w:t>
      </w:r>
      <w:r w:rsidR="00461444" w:rsidRPr="005D1193">
        <w:rPr>
          <w:rFonts w:ascii="Times New Roman" w:hAnsi="Times New Roman"/>
          <w:sz w:val="24"/>
          <w:szCs w:val="24"/>
        </w:rPr>
        <w:t xml:space="preserve"> ризиків:</w:t>
      </w:r>
    </w:p>
    <w:p w14:paraId="19ABDCD8" w14:textId="0A100521" w:rsidR="000A39DA" w:rsidRPr="005D1193" w:rsidRDefault="001F03A1" w:rsidP="000A39DA">
      <w:pPr>
        <w:pStyle w:val="a5"/>
        <w:numPr>
          <w:ilvl w:val="0"/>
          <w:numId w:val="5"/>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в</w:t>
      </w:r>
      <w:r w:rsidR="002E071F" w:rsidRPr="005D1193">
        <w:rPr>
          <w:rFonts w:ascii="Times New Roman" w:eastAsia="TimesNewRoman" w:hAnsi="Times New Roman"/>
          <w:sz w:val="24"/>
          <w:szCs w:val="24"/>
          <w:lang w:eastAsia="ru-RU"/>
        </w:rPr>
        <w:t xml:space="preserve">становлення </w:t>
      </w:r>
      <w:r w:rsidR="00030CA1" w:rsidRPr="005D1193">
        <w:rPr>
          <w:rFonts w:ascii="Times New Roman" w:eastAsia="TimesNewRoman" w:hAnsi="Times New Roman"/>
          <w:sz w:val="24"/>
          <w:szCs w:val="24"/>
          <w:lang w:eastAsia="ru-RU"/>
        </w:rPr>
        <w:t xml:space="preserve">додаткових </w:t>
      </w:r>
      <w:r w:rsidR="002E071F" w:rsidRPr="005D1193">
        <w:rPr>
          <w:rFonts w:ascii="Times New Roman" w:eastAsia="TimesNewRoman" w:hAnsi="Times New Roman"/>
          <w:sz w:val="24"/>
          <w:szCs w:val="24"/>
          <w:lang w:eastAsia="ru-RU"/>
        </w:rPr>
        <w:t xml:space="preserve">процедур допуску </w:t>
      </w:r>
      <w:r w:rsidR="002310C0" w:rsidRPr="005D1193">
        <w:rPr>
          <w:rFonts w:ascii="Times New Roman" w:eastAsia="TimesNewRoman" w:hAnsi="Times New Roman"/>
          <w:sz w:val="24"/>
          <w:szCs w:val="24"/>
          <w:lang w:eastAsia="ru-RU"/>
        </w:rPr>
        <w:t>учасників клірингу</w:t>
      </w:r>
      <w:r w:rsidR="002E071F" w:rsidRPr="005D1193">
        <w:rPr>
          <w:rFonts w:ascii="Times New Roman" w:eastAsia="TimesNewRoman" w:hAnsi="Times New Roman"/>
          <w:sz w:val="24"/>
          <w:szCs w:val="24"/>
          <w:lang w:eastAsia="ru-RU"/>
        </w:rPr>
        <w:t xml:space="preserve"> до системи клірингу та розрахунків</w:t>
      </w:r>
      <w:r w:rsidR="00394BBC" w:rsidRPr="005D1193">
        <w:rPr>
          <w:rFonts w:ascii="Times New Roman" w:eastAsia="TimesNewRoman" w:hAnsi="Times New Roman"/>
          <w:sz w:val="24"/>
          <w:szCs w:val="24"/>
          <w:lang w:eastAsia="ru-RU"/>
        </w:rPr>
        <w:t xml:space="preserve"> без</w:t>
      </w:r>
      <w:r w:rsidR="002E071F" w:rsidRPr="005D1193">
        <w:rPr>
          <w:rFonts w:ascii="Times New Roman" w:eastAsia="TimesNewRoman" w:hAnsi="Times New Roman"/>
          <w:sz w:val="24"/>
          <w:szCs w:val="24"/>
          <w:lang w:eastAsia="ru-RU"/>
        </w:rPr>
        <w:t xml:space="preserve"> використ</w:t>
      </w:r>
      <w:r w:rsidR="00394BBC" w:rsidRPr="005D1193">
        <w:rPr>
          <w:rFonts w:ascii="Times New Roman" w:eastAsia="TimesNewRoman" w:hAnsi="Times New Roman"/>
          <w:sz w:val="24"/>
          <w:szCs w:val="24"/>
          <w:lang w:eastAsia="ru-RU"/>
        </w:rPr>
        <w:t>ання</w:t>
      </w:r>
      <w:r w:rsidR="002E071F" w:rsidRPr="005D1193">
        <w:rPr>
          <w:rFonts w:ascii="Times New Roman" w:eastAsia="TimesNewRoman" w:hAnsi="Times New Roman"/>
          <w:sz w:val="24"/>
          <w:szCs w:val="24"/>
          <w:lang w:eastAsia="ru-RU"/>
        </w:rPr>
        <w:t xml:space="preserve"> механізм</w:t>
      </w:r>
      <w:r w:rsidR="00394BBC" w:rsidRPr="005D1193">
        <w:rPr>
          <w:rFonts w:ascii="Times New Roman" w:eastAsia="TimesNewRoman" w:hAnsi="Times New Roman"/>
          <w:sz w:val="24"/>
          <w:szCs w:val="24"/>
          <w:lang w:eastAsia="ru-RU"/>
        </w:rPr>
        <w:t>ів</w:t>
      </w:r>
      <w:r w:rsidR="002E071F" w:rsidRPr="005D1193">
        <w:rPr>
          <w:rFonts w:ascii="Times New Roman" w:eastAsia="TimesNewRoman" w:hAnsi="Times New Roman"/>
          <w:sz w:val="24"/>
          <w:szCs w:val="24"/>
          <w:lang w:eastAsia="ru-RU"/>
        </w:rPr>
        <w:t xml:space="preserve"> стовідсоткового </w:t>
      </w:r>
      <w:r w:rsidRPr="005D1193">
        <w:rPr>
          <w:rFonts w:ascii="Times New Roman" w:eastAsia="TimesNewRoman" w:hAnsi="Times New Roman"/>
          <w:sz w:val="24"/>
          <w:szCs w:val="24"/>
          <w:lang w:eastAsia="ru-RU"/>
        </w:rPr>
        <w:t xml:space="preserve">попереднього </w:t>
      </w:r>
      <w:r w:rsidR="00234F91" w:rsidRPr="005D1193">
        <w:rPr>
          <w:rFonts w:ascii="Times New Roman" w:eastAsia="TimesNewRoman" w:hAnsi="Times New Roman"/>
          <w:sz w:val="24"/>
          <w:szCs w:val="24"/>
          <w:lang w:eastAsia="ru-RU"/>
        </w:rPr>
        <w:t>депонування</w:t>
      </w:r>
      <w:r w:rsidR="00234F91" w:rsidRPr="005D1193">
        <w:rPr>
          <w:rFonts w:ascii="Times New Roman" w:hAnsi="Times New Roman"/>
          <w:sz w:val="24"/>
          <w:szCs w:val="24"/>
        </w:rPr>
        <w:t xml:space="preserve"> та </w:t>
      </w:r>
      <w:r w:rsidRPr="005D1193">
        <w:rPr>
          <w:rFonts w:ascii="Times New Roman" w:hAnsi="Times New Roman"/>
          <w:sz w:val="24"/>
          <w:szCs w:val="24"/>
        </w:rPr>
        <w:t xml:space="preserve">резервування </w:t>
      </w:r>
      <w:r w:rsidR="002E071F" w:rsidRPr="005D1193">
        <w:rPr>
          <w:rFonts w:ascii="Times New Roman" w:eastAsia="TimesNewRoman" w:hAnsi="Times New Roman"/>
          <w:sz w:val="24"/>
          <w:szCs w:val="24"/>
          <w:lang w:eastAsia="ru-RU"/>
        </w:rPr>
        <w:t>активів;</w:t>
      </w:r>
    </w:p>
    <w:p w14:paraId="434532B8" w14:textId="38596EEB" w:rsidR="001F0DA6" w:rsidRPr="005D1193" w:rsidRDefault="001F03A1" w:rsidP="000A39DA">
      <w:pPr>
        <w:pStyle w:val="a5"/>
        <w:numPr>
          <w:ilvl w:val="0"/>
          <w:numId w:val="5"/>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в</w:t>
      </w:r>
      <w:r w:rsidR="001F0DA6" w:rsidRPr="005D1193">
        <w:rPr>
          <w:rFonts w:ascii="Times New Roman" w:eastAsia="TimesNewRoman" w:hAnsi="Times New Roman"/>
          <w:sz w:val="24"/>
          <w:szCs w:val="24"/>
          <w:lang w:eastAsia="ru-RU"/>
        </w:rPr>
        <w:t>изначення цінних паперів, що можуть бути предметом укладання біржових правочинів без використання механізмів стовідсоткового</w:t>
      </w:r>
      <w:r w:rsidRPr="005D1193">
        <w:rPr>
          <w:rFonts w:ascii="Times New Roman" w:eastAsia="TimesNewRoman" w:hAnsi="Times New Roman"/>
          <w:sz w:val="24"/>
          <w:szCs w:val="24"/>
          <w:lang w:eastAsia="ru-RU"/>
        </w:rPr>
        <w:t xml:space="preserve"> попереднього </w:t>
      </w:r>
      <w:r w:rsidR="00234F91" w:rsidRPr="005D1193">
        <w:rPr>
          <w:rFonts w:ascii="Times New Roman" w:eastAsia="TimesNewRoman" w:hAnsi="Times New Roman"/>
          <w:sz w:val="24"/>
          <w:szCs w:val="24"/>
          <w:lang w:eastAsia="ru-RU"/>
        </w:rPr>
        <w:t xml:space="preserve">депонування </w:t>
      </w:r>
      <w:r w:rsidR="00234F91" w:rsidRPr="005D1193">
        <w:rPr>
          <w:rFonts w:ascii="Times New Roman" w:hAnsi="Times New Roman"/>
          <w:sz w:val="24"/>
          <w:szCs w:val="24"/>
        </w:rPr>
        <w:t xml:space="preserve">та </w:t>
      </w:r>
      <w:r w:rsidRPr="005D1193">
        <w:rPr>
          <w:rFonts w:ascii="Times New Roman" w:hAnsi="Times New Roman"/>
          <w:sz w:val="24"/>
          <w:szCs w:val="24"/>
        </w:rPr>
        <w:t xml:space="preserve">резервування </w:t>
      </w:r>
      <w:r w:rsidR="001F0DA6" w:rsidRPr="005D1193">
        <w:rPr>
          <w:rFonts w:ascii="Times New Roman" w:eastAsia="TimesNewRoman" w:hAnsi="Times New Roman"/>
          <w:sz w:val="24"/>
          <w:szCs w:val="24"/>
          <w:lang w:eastAsia="ru-RU"/>
        </w:rPr>
        <w:t>активів;</w:t>
      </w:r>
    </w:p>
    <w:p w14:paraId="50B79316" w14:textId="0322E365" w:rsidR="001F0DA6" w:rsidRPr="005D1193" w:rsidRDefault="001F03A1" w:rsidP="000A39DA">
      <w:pPr>
        <w:pStyle w:val="a5"/>
        <w:numPr>
          <w:ilvl w:val="0"/>
          <w:numId w:val="5"/>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в</w:t>
      </w:r>
      <w:r w:rsidR="001F0DA6" w:rsidRPr="005D1193">
        <w:rPr>
          <w:rFonts w:ascii="Times New Roman" w:eastAsia="TimesNewRoman" w:hAnsi="Times New Roman"/>
          <w:sz w:val="24"/>
          <w:szCs w:val="24"/>
          <w:lang w:eastAsia="ru-RU"/>
        </w:rPr>
        <w:t>изначення ліміт</w:t>
      </w:r>
      <w:r w:rsidR="00E5552C" w:rsidRPr="005D1193">
        <w:rPr>
          <w:rFonts w:ascii="Times New Roman" w:eastAsia="TimesNewRoman" w:hAnsi="Times New Roman"/>
          <w:sz w:val="24"/>
          <w:szCs w:val="24"/>
          <w:lang w:eastAsia="ru-RU"/>
        </w:rPr>
        <w:t>ів</w:t>
      </w:r>
      <w:r w:rsidR="007836AE" w:rsidRPr="005D1193">
        <w:rPr>
          <w:rFonts w:ascii="Times New Roman" w:eastAsia="TimesNewRoman" w:hAnsi="Times New Roman"/>
          <w:sz w:val="24"/>
          <w:szCs w:val="24"/>
          <w:lang w:eastAsia="ru-RU"/>
        </w:rPr>
        <w:t xml:space="preserve"> </w:t>
      </w:r>
      <w:r w:rsidR="007E4A6D" w:rsidRPr="005D1193">
        <w:rPr>
          <w:rFonts w:ascii="Times New Roman" w:eastAsia="TimesNewRoman" w:hAnsi="Times New Roman"/>
          <w:sz w:val="24"/>
          <w:szCs w:val="24"/>
          <w:lang w:eastAsia="ru-RU"/>
        </w:rPr>
        <w:t>за зобов</w:t>
      </w:r>
      <w:r w:rsidR="005F41FA" w:rsidRPr="005D1193">
        <w:rPr>
          <w:rFonts w:ascii="Times New Roman" w:eastAsia="TimesNewRoman" w:hAnsi="Times New Roman"/>
          <w:sz w:val="24"/>
          <w:szCs w:val="24"/>
          <w:lang w:eastAsia="ru-RU"/>
        </w:rPr>
        <w:t>’</w:t>
      </w:r>
      <w:r w:rsidR="007E4A6D" w:rsidRPr="005D1193">
        <w:rPr>
          <w:rFonts w:ascii="Times New Roman" w:eastAsia="TimesNewRoman" w:hAnsi="Times New Roman"/>
          <w:sz w:val="24"/>
          <w:szCs w:val="24"/>
          <w:lang w:eastAsia="ru-RU"/>
        </w:rPr>
        <w:t>язаннями</w:t>
      </w:r>
      <w:r w:rsidR="001F0DA6" w:rsidRPr="005D1193">
        <w:rPr>
          <w:rFonts w:ascii="Times New Roman" w:eastAsia="TimesNewRoman" w:hAnsi="Times New Roman"/>
          <w:sz w:val="24"/>
          <w:szCs w:val="24"/>
          <w:lang w:eastAsia="ru-RU"/>
        </w:rPr>
        <w:t xml:space="preserve">, що гарантовані </w:t>
      </w:r>
      <w:r w:rsidR="00CE200E" w:rsidRPr="005D1193">
        <w:rPr>
          <w:rFonts w:ascii="Times New Roman" w:eastAsia="TimesNewRoman" w:hAnsi="Times New Roman"/>
          <w:sz w:val="24"/>
          <w:szCs w:val="24"/>
          <w:lang w:eastAsia="ru-RU"/>
        </w:rPr>
        <w:t>г</w:t>
      </w:r>
      <w:r w:rsidR="001F0DA6" w:rsidRPr="005D1193">
        <w:rPr>
          <w:rFonts w:ascii="Times New Roman" w:eastAsia="TimesNewRoman" w:hAnsi="Times New Roman"/>
          <w:sz w:val="24"/>
          <w:szCs w:val="24"/>
          <w:lang w:eastAsia="ru-RU"/>
        </w:rPr>
        <w:t>арантійним забезпеченням</w:t>
      </w:r>
      <w:r w:rsidR="00FC1441" w:rsidRPr="005D1193">
        <w:rPr>
          <w:rFonts w:ascii="Times New Roman" w:eastAsia="TimesNewRoman" w:hAnsi="Times New Roman"/>
          <w:sz w:val="24"/>
          <w:szCs w:val="24"/>
          <w:lang w:eastAsia="ru-RU"/>
        </w:rPr>
        <w:t>,</w:t>
      </w:r>
      <w:r w:rsidR="001F0DA6" w:rsidRPr="005D1193">
        <w:rPr>
          <w:rFonts w:ascii="Times New Roman" w:eastAsia="TimesNewRoman" w:hAnsi="Times New Roman"/>
          <w:sz w:val="24"/>
          <w:szCs w:val="24"/>
          <w:lang w:eastAsia="ru-RU"/>
        </w:rPr>
        <w:t xml:space="preserve"> за кожним кліринговим рахунком</w:t>
      </w:r>
      <w:r w:rsidR="00BC656F" w:rsidRPr="005D1193">
        <w:rPr>
          <w:rFonts w:ascii="Times New Roman" w:eastAsia="TimesNewRoman" w:hAnsi="Times New Roman"/>
          <w:sz w:val="24"/>
          <w:szCs w:val="24"/>
          <w:lang w:eastAsia="ru-RU"/>
        </w:rPr>
        <w:t xml:space="preserve"> </w:t>
      </w:r>
      <w:r w:rsidR="001F0DA6" w:rsidRPr="005D1193">
        <w:rPr>
          <w:rFonts w:ascii="Times New Roman" w:eastAsia="TimesNewRoman" w:hAnsi="Times New Roman"/>
          <w:sz w:val="24"/>
          <w:szCs w:val="24"/>
          <w:lang w:eastAsia="ru-RU"/>
        </w:rPr>
        <w:t>/</w:t>
      </w:r>
      <w:r w:rsidR="00BC656F" w:rsidRPr="005D1193">
        <w:rPr>
          <w:rFonts w:ascii="Times New Roman" w:eastAsia="TimesNewRoman" w:hAnsi="Times New Roman"/>
          <w:sz w:val="24"/>
          <w:szCs w:val="24"/>
          <w:lang w:eastAsia="ru-RU"/>
        </w:rPr>
        <w:t xml:space="preserve"> </w:t>
      </w:r>
      <w:r w:rsidR="001F0DA6" w:rsidRPr="005D1193">
        <w:rPr>
          <w:rFonts w:ascii="Times New Roman" w:eastAsia="TimesNewRoman" w:hAnsi="Times New Roman"/>
          <w:sz w:val="24"/>
          <w:szCs w:val="24"/>
          <w:lang w:eastAsia="ru-RU"/>
        </w:rPr>
        <w:t>субрахунком учасника клірингу;</w:t>
      </w:r>
    </w:p>
    <w:p w14:paraId="2D928F75" w14:textId="69E6BBEC" w:rsidR="00882631" w:rsidRPr="005D1193" w:rsidRDefault="001F03A1" w:rsidP="000A39DA">
      <w:pPr>
        <w:pStyle w:val="a5"/>
        <w:numPr>
          <w:ilvl w:val="0"/>
          <w:numId w:val="5"/>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з</w:t>
      </w:r>
      <w:r w:rsidR="00882631" w:rsidRPr="005D1193">
        <w:rPr>
          <w:rFonts w:ascii="Times New Roman" w:eastAsia="TimesNewRoman" w:hAnsi="Times New Roman"/>
          <w:sz w:val="24"/>
          <w:szCs w:val="24"/>
          <w:lang w:eastAsia="ru-RU"/>
        </w:rPr>
        <w:t xml:space="preserve">дійснення клірингу за правочинами щодо цінних паперів в розрізі кожного </w:t>
      </w:r>
      <w:r w:rsidR="003C16AA" w:rsidRPr="005D1193">
        <w:rPr>
          <w:rFonts w:ascii="Times New Roman" w:eastAsia="TimesNewRoman" w:hAnsi="Times New Roman"/>
          <w:sz w:val="24"/>
          <w:szCs w:val="24"/>
          <w:lang w:eastAsia="ru-RU"/>
        </w:rPr>
        <w:t xml:space="preserve">випуску </w:t>
      </w:r>
      <w:r w:rsidR="00882631" w:rsidRPr="005D1193">
        <w:rPr>
          <w:rFonts w:ascii="Times New Roman" w:eastAsia="TimesNewRoman" w:hAnsi="Times New Roman"/>
          <w:sz w:val="24"/>
          <w:szCs w:val="24"/>
          <w:lang w:eastAsia="ru-RU"/>
        </w:rPr>
        <w:t>цінн</w:t>
      </w:r>
      <w:r w:rsidR="003C16AA" w:rsidRPr="005D1193">
        <w:rPr>
          <w:rFonts w:ascii="Times New Roman" w:eastAsia="TimesNewRoman" w:hAnsi="Times New Roman"/>
          <w:sz w:val="24"/>
          <w:szCs w:val="24"/>
          <w:lang w:eastAsia="ru-RU"/>
        </w:rPr>
        <w:t>их</w:t>
      </w:r>
      <w:r w:rsidR="00882631" w:rsidRPr="005D1193">
        <w:rPr>
          <w:rFonts w:ascii="Times New Roman" w:eastAsia="TimesNewRoman" w:hAnsi="Times New Roman"/>
          <w:sz w:val="24"/>
          <w:szCs w:val="24"/>
          <w:lang w:eastAsia="ru-RU"/>
        </w:rPr>
        <w:t xml:space="preserve"> папер</w:t>
      </w:r>
      <w:r w:rsidR="003C16AA" w:rsidRPr="005D1193">
        <w:rPr>
          <w:rFonts w:ascii="Times New Roman" w:eastAsia="TimesNewRoman" w:hAnsi="Times New Roman"/>
          <w:sz w:val="24"/>
          <w:szCs w:val="24"/>
          <w:lang w:eastAsia="ru-RU"/>
        </w:rPr>
        <w:t>ів</w:t>
      </w:r>
      <w:r w:rsidR="00882631" w:rsidRPr="005D1193">
        <w:rPr>
          <w:rFonts w:ascii="Times New Roman" w:eastAsia="TimesNewRoman" w:hAnsi="Times New Roman"/>
          <w:sz w:val="24"/>
          <w:szCs w:val="24"/>
          <w:lang w:eastAsia="ru-RU"/>
        </w:rPr>
        <w:t xml:space="preserve"> та єдиної дати виконання</w:t>
      </w:r>
      <w:r w:rsidR="00267221" w:rsidRPr="005D1193">
        <w:rPr>
          <w:rFonts w:ascii="Times New Roman" w:eastAsia="TimesNewRoman" w:hAnsi="Times New Roman"/>
          <w:sz w:val="24"/>
          <w:szCs w:val="24"/>
          <w:lang w:eastAsia="ru-RU"/>
        </w:rPr>
        <w:t>;</w:t>
      </w:r>
      <w:r w:rsidR="00882631" w:rsidRPr="005D1193">
        <w:rPr>
          <w:rFonts w:ascii="Times New Roman" w:eastAsia="TimesNewRoman" w:hAnsi="Times New Roman"/>
          <w:sz w:val="24"/>
          <w:szCs w:val="24"/>
          <w:lang w:eastAsia="ru-RU"/>
        </w:rPr>
        <w:t xml:space="preserve"> </w:t>
      </w:r>
    </w:p>
    <w:p w14:paraId="6A963486" w14:textId="5BC5964F" w:rsidR="007836AE" w:rsidRPr="005D1193" w:rsidRDefault="002A43FF" w:rsidP="000A39DA">
      <w:pPr>
        <w:pStyle w:val="a5"/>
        <w:numPr>
          <w:ilvl w:val="0"/>
          <w:numId w:val="5"/>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здійснення кожного операційного дня</w:t>
      </w:r>
      <w:r w:rsidR="007836AE" w:rsidRPr="005D1193">
        <w:rPr>
          <w:rFonts w:ascii="Times New Roman" w:eastAsia="TimesNewRoman" w:hAnsi="Times New Roman"/>
          <w:sz w:val="24"/>
          <w:szCs w:val="24"/>
          <w:lang w:eastAsia="ru-RU"/>
        </w:rPr>
        <w:t xml:space="preserve"> перерахунку грошової вартості зобов</w:t>
      </w:r>
      <w:r w:rsidR="005F41FA" w:rsidRPr="005D1193">
        <w:rPr>
          <w:rFonts w:ascii="Times New Roman" w:eastAsia="TimesNewRoman" w:hAnsi="Times New Roman"/>
          <w:sz w:val="24"/>
          <w:szCs w:val="24"/>
          <w:lang w:eastAsia="ru-RU"/>
        </w:rPr>
        <w:t>’</w:t>
      </w:r>
      <w:r w:rsidR="007836AE" w:rsidRPr="005D1193">
        <w:rPr>
          <w:rFonts w:ascii="Times New Roman" w:eastAsia="TimesNewRoman" w:hAnsi="Times New Roman"/>
          <w:sz w:val="24"/>
          <w:szCs w:val="24"/>
          <w:lang w:eastAsia="ru-RU"/>
        </w:rPr>
        <w:t xml:space="preserve">язань учасника клірингу та перевірки її розміру на відповідність </w:t>
      </w:r>
      <w:r w:rsidR="007E4A6D" w:rsidRPr="005D1193">
        <w:rPr>
          <w:rFonts w:ascii="Times New Roman" w:eastAsia="TimesNewRoman" w:hAnsi="Times New Roman"/>
          <w:sz w:val="24"/>
          <w:szCs w:val="24"/>
          <w:lang w:eastAsia="ru-RU"/>
        </w:rPr>
        <w:t xml:space="preserve">розміру </w:t>
      </w:r>
      <w:r w:rsidR="00234F91" w:rsidRPr="005D1193">
        <w:rPr>
          <w:rFonts w:ascii="Times New Roman" w:eastAsia="TimesNewRoman" w:hAnsi="Times New Roman"/>
          <w:sz w:val="24"/>
          <w:szCs w:val="24"/>
          <w:lang w:eastAsia="ru-RU"/>
        </w:rPr>
        <w:t>г</w:t>
      </w:r>
      <w:r w:rsidR="007836AE" w:rsidRPr="005D1193">
        <w:rPr>
          <w:rFonts w:ascii="Times New Roman" w:eastAsia="TimesNewRoman" w:hAnsi="Times New Roman"/>
          <w:sz w:val="24"/>
          <w:szCs w:val="24"/>
          <w:lang w:eastAsia="ru-RU"/>
        </w:rPr>
        <w:t>арантійно</w:t>
      </w:r>
      <w:r w:rsidR="007E4A6D" w:rsidRPr="005D1193">
        <w:rPr>
          <w:rFonts w:ascii="Times New Roman" w:eastAsia="TimesNewRoman" w:hAnsi="Times New Roman"/>
          <w:sz w:val="24"/>
          <w:szCs w:val="24"/>
          <w:lang w:eastAsia="ru-RU"/>
        </w:rPr>
        <w:t>го</w:t>
      </w:r>
      <w:r w:rsidR="007836AE" w:rsidRPr="005D1193">
        <w:rPr>
          <w:rFonts w:ascii="Times New Roman" w:eastAsia="TimesNewRoman" w:hAnsi="Times New Roman"/>
          <w:sz w:val="24"/>
          <w:szCs w:val="24"/>
          <w:lang w:eastAsia="ru-RU"/>
        </w:rPr>
        <w:t xml:space="preserve"> забезпеченн</w:t>
      </w:r>
      <w:r w:rsidR="007E4A6D" w:rsidRPr="005D1193">
        <w:rPr>
          <w:rFonts w:ascii="Times New Roman" w:eastAsia="TimesNewRoman" w:hAnsi="Times New Roman"/>
          <w:sz w:val="24"/>
          <w:szCs w:val="24"/>
          <w:lang w:eastAsia="ru-RU"/>
        </w:rPr>
        <w:t>я</w:t>
      </w:r>
      <w:r w:rsidR="007836AE" w:rsidRPr="005D1193">
        <w:rPr>
          <w:rFonts w:ascii="Times New Roman" w:eastAsia="TimesNewRoman" w:hAnsi="Times New Roman"/>
          <w:sz w:val="24"/>
          <w:szCs w:val="24"/>
          <w:lang w:eastAsia="ru-RU"/>
        </w:rPr>
        <w:t>;</w:t>
      </w:r>
    </w:p>
    <w:p w14:paraId="1F69DB4A" w14:textId="4624465E" w:rsidR="00FD6EF6" w:rsidRPr="005D1193" w:rsidRDefault="001F03A1" w:rsidP="000A39DA">
      <w:pPr>
        <w:pStyle w:val="a5"/>
        <w:numPr>
          <w:ilvl w:val="0"/>
          <w:numId w:val="5"/>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з</w:t>
      </w:r>
      <w:r w:rsidR="00FD6EF6" w:rsidRPr="005D1193">
        <w:rPr>
          <w:rFonts w:ascii="Times New Roman" w:eastAsia="TimesNewRoman" w:hAnsi="Times New Roman"/>
          <w:sz w:val="24"/>
          <w:szCs w:val="24"/>
          <w:lang w:eastAsia="ru-RU"/>
        </w:rPr>
        <w:t>астосування процедур примусового припинення зобов</w:t>
      </w:r>
      <w:r w:rsidR="005F41FA" w:rsidRPr="005D1193">
        <w:rPr>
          <w:rFonts w:ascii="Times New Roman" w:eastAsia="TimesNewRoman" w:hAnsi="Times New Roman"/>
          <w:sz w:val="24"/>
          <w:szCs w:val="24"/>
          <w:lang w:eastAsia="ru-RU"/>
        </w:rPr>
        <w:t>’</w:t>
      </w:r>
      <w:r w:rsidR="00FD6EF6" w:rsidRPr="005D1193">
        <w:rPr>
          <w:rFonts w:ascii="Times New Roman" w:eastAsia="TimesNewRoman" w:hAnsi="Times New Roman"/>
          <w:sz w:val="24"/>
          <w:szCs w:val="24"/>
          <w:lang w:eastAsia="ru-RU"/>
        </w:rPr>
        <w:t xml:space="preserve">язань учасника клірингу у випадку </w:t>
      </w:r>
      <w:r w:rsidR="0062389A" w:rsidRPr="005D1193">
        <w:rPr>
          <w:rFonts w:ascii="Times New Roman" w:eastAsia="TimesNewRoman" w:hAnsi="Times New Roman"/>
          <w:sz w:val="24"/>
          <w:szCs w:val="24"/>
          <w:lang w:eastAsia="ru-RU"/>
        </w:rPr>
        <w:t xml:space="preserve">недостатності </w:t>
      </w:r>
      <w:r w:rsidR="00FD6EF6" w:rsidRPr="005D1193">
        <w:rPr>
          <w:rFonts w:ascii="Times New Roman" w:eastAsia="TimesNewRoman" w:hAnsi="Times New Roman"/>
          <w:sz w:val="24"/>
          <w:szCs w:val="24"/>
          <w:lang w:eastAsia="ru-RU"/>
        </w:rPr>
        <w:t xml:space="preserve">внесеного до Розрахункового центру </w:t>
      </w:r>
      <w:r w:rsidR="00F83000" w:rsidRPr="005D1193">
        <w:rPr>
          <w:rFonts w:ascii="Times New Roman" w:eastAsia="TimesNewRoman" w:hAnsi="Times New Roman"/>
          <w:sz w:val="24"/>
          <w:szCs w:val="24"/>
          <w:lang w:eastAsia="ru-RU"/>
        </w:rPr>
        <w:t>г</w:t>
      </w:r>
      <w:r w:rsidR="00FD6EF6" w:rsidRPr="005D1193">
        <w:rPr>
          <w:rFonts w:ascii="Times New Roman" w:eastAsia="TimesNewRoman" w:hAnsi="Times New Roman"/>
          <w:sz w:val="24"/>
          <w:szCs w:val="24"/>
          <w:lang w:eastAsia="ru-RU"/>
        </w:rPr>
        <w:t xml:space="preserve">арантійного забезпечення; </w:t>
      </w:r>
    </w:p>
    <w:p w14:paraId="3B0E5ADC" w14:textId="05068276" w:rsidR="007836AE" w:rsidRPr="005D1193" w:rsidRDefault="001F03A1" w:rsidP="000A39DA">
      <w:pPr>
        <w:pStyle w:val="a5"/>
        <w:numPr>
          <w:ilvl w:val="0"/>
          <w:numId w:val="5"/>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в</w:t>
      </w:r>
      <w:r w:rsidR="001F0DA6" w:rsidRPr="005D1193">
        <w:rPr>
          <w:rFonts w:ascii="Times New Roman" w:eastAsia="TimesNewRoman" w:hAnsi="Times New Roman"/>
          <w:sz w:val="24"/>
          <w:szCs w:val="24"/>
          <w:lang w:eastAsia="ru-RU"/>
        </w:rPr>
        <w:t xml:space="preserve">становлення договірних відносин з </w:t>
      </w:r>
      <w:r w:rsidR="00A629B6" w:rsidRPr="005D1193">
        <w:rPr>
          <w:rFonts w:ascii="Times New Roman" w:eastAsia="TimesNewRoman" w:hAnsi="Times New Roman"/>
          <w:sz w:val="24"/>
          <w:szCs w:val="24"/>
          <w:lang w:eastAsia="ru-RU"/>
        </w:rPr>
        <w:t xml:space="preserve">фондовою </w:t>
      </w:r>
      <w:r w:rsidR="00E5387D" w:rsidRPr="005D1193">
        <w:rPr>
          <w:rFonts w:ascii="Times New Roman" w:eastAsia="TimesNewRoman" w:hAnsi="Times New Roman"/>
          <w:sz w:val="24"/>
          <w:szCs w:val="24"/>
          <w:lang w:eastAsia="ru-RU"/>
        </w:rPr>
        <w:t>біржою</w:t>
      </w:r>
      <w:r w:rsidR="001F0DA6" w:rsidRPr="005D1193">
        <w:rPr>
          <w:rFonts w:ascii="Times New Roman" w:eastAsia="TimesNewRoman" w:hAnsi="Times New Roman"/>
          <w:sz w:val="24"/>
          <w:szCs w:val="24"/>
          <w:lang w:eastAsia="ru-RU"/>
        </w:rPr>
        <w:t xml:space="preserve">, на якій здійснюється укладання біржових правочинів без використання механізмів стовідсоткового </w:t>
      </w:r>
      <w:r w:rsidRPr="005D1193">
        <w:rPr>
          <w:rFonts w:ascii="Times New Roman" w:eastAsia="TimesNewRoman" w:hAnsi="Times New Roman"/>
          <w:sz w:val="24"/>
          <w:szCs w:val="24"/>
          <w:lang w:eastAsia="ru-RU"/>
        </w:rPr>
        <w:t xml:space="preserve">попереднього </w:t>
      </w:r>
      <w:r w:rsidR="00234F91" w:rsidRPr="005D1193">
        <w:rPr>
          <w:rFonts w:ascii="Times New Roman" w:eastAsia="TimesNewRoman" w:hAnsi="Times New Roman"/>
          <w:sz w:val="24"/>
          <w:szCs w:val="24"/>
          <w:lang w:eastAsia="ru-RU"/>
        </w:rPr>
        <w:t>депонування</w:t>
      </w:r>
      <w:r w:rsidR="00234F91" w:rsidRPr="005D1193">
        <w:rPr>
          <w:rFonts w:ascii="Times New Roman" w:hAnsi="Times New Roman"/>
          <w:sz w:val="24"/>
          <w:szCs w:val="24"/>
        </w:rPr>
        <w:t xml:space="preserve"> та </w:t>
      </w:r>
      <w:r w:rsidRPr="005D1193">
        <w:rPr>
          <w:rFonts w:ascii="Times New Roman" w:hAnsi="Times New Roman"/>
          <w:sz w:val="24"/>
          <w:szCs w:val="24"/>
        </w:rPr>
        <w:t xml:space="preserve">резервування </w:t>
      </w:r>
      <w:r w:rsidR="001F0DA6" w:rsidRPr="005D1193">
        <w:rPr>
          <w:rFonts w:ascii="Times New Roman" w:eastAsia="TimesNewRoman" w:hAnsi="Times New Roman"/>
          <w:sz w:val="24"/>
          <w:szCs w:val="24"/>
          <w:lang w:eastAsia="ru-RU"/>
        </w:rPr>
        <w:t>активів</w:t>
      </w:r>
      <w:r w:rsidR="00846E2F" w:rsidRPr="005D1193">
        <w:rPr>
          <w:rFonts w:ascii="Times New Roman" w:eastAsia="TimesNewRoman" w:hAnsi="Times New Roman"/>
          <w:sz w:val="24"/>
          <w:szCs w:val="24"/>
          <w:lang w:eastAsia="ru-RU"/>
        </w:rPr>
        <w:t>,</w:t>
      </w:r>
      <w:r w:rsidR="007836AE" w:rsidRPr="005D1193">
        <w:rPr>
          <w:rFonts w:ascii="Times New Roman" w:eastAsia="TimesNewRoman" w:hAnsi="Times New Roman"/>
          <w:sz w:val="24"/>
          <w:szCs w:val="24"/>
          <w:lang w:eastAsia="ru-RU"/>
        </w:rPr>
        <w:t xml:space="preserve"> з визначенням порядку обміну інформацією з Розрахунковим центром, процедур укладання таких правочинів, порядку прийняття або відмови Розрахунковим центром </w:t>
      </w:r>
      <w:r w:rsidR="00846E2F" w:rsidRPr="005D1193">
        <w:rPr>
          <w:rFonts w:ascii="Times New Roman" w:eastAsia="TimesNewRoman" w:hAnsi="Times New Roman"/>
          <w:sz w:val="24"/>
          <w:szCs w:val="24"/>
          <w:lang w:eastAsia="ru-RU"/>
        </w:rPr>
        <w:t xml:space="preserve">від виконання </w:t>
      </w:r>
      <w:r w:rsidR="007836AE" w:rsidRPr="005D1193">
        <w:rPr>
          <w:rFonts w:ascii="Times New Roman" w:eastAsia="TimesNewRoman" w:hAnsi="Times New Roman"/>
          <w:sz w:val="24"/>
          <w:szCs w:val="24"/>
          <w:lang w:eastAsia="ru-RU"/>
        </w:rPr>
        <w:t>обов</w:t>
      </w:r>
      <w:r w:rsidR="005F41FA" w:rsidRPr="005D1193">
        <w:rPr>
          <w:rFonts w:ascii="Times New Roman" w:eastAsia="TimesNewRoman" w:hAnsi="Times New Roman"/>
          <w:sz w:val="24"/>
          <w:szCs w:val="24"/>
          <w:lang w:eastAsia="ru-RU"/>
        </w:rPr>
        <w:t>’</w:t>
      </w:r>
      <w:r w:rsidR="007836AE" w:rsidRPr="005D1193">
        <w:rPr>
          <w:rFonts w:ascii="Times New Roman" w:eastAsia="TimesNewRoman" w:hAnsi="Times New Roman"/>
          <w:sz w:val="24"/>
          <w:szCs w:val="24"/>
          <w:lang w:eastAsia="ru-RU"/>
        </w:rPr>
        <w:t>язків центрального контрагент</w:t>
      </w:r>
      <w:r w:rsidR="00846E2F" w:rsidRPr="005D1193">
        <w:rPr>
          <w:rFonts w:ascii="Times New Roman" w:eastAsia="TimesNewRoman" w:hAnsi="Times New Roman"/>
          <w:sz w:val="24"/>
          <w:szCs w:val="24"/>
          <w:lang w:eastAsia="ru-RU"/>
        </w:rPr>
        <w:t>а</w:t>
      </w:r>
      <w:r w:rsidR="007836AE" w:rsidRPr="005D1193">
        <w:rPr>
          <w:rFonts w:ascii="Times New Roman" w:eastAsia="TimesNewRoman" w:hAnsi="Times New Roman"/>
          <w:sz w:val="24"/>
          <w:szCs w:val="24"/>
          <w:lang w:eastAsia="ru-RU"/>
        </w:rPr>
        <w:t xml:space="preserve"> за такими правочинами, порядку взаєм</w:t>
      </w:r>
      <w:r w:rsidR="00846E2F" w:rsidRPr="005D1193">
        <w:rPr>
          <w:rFonts w:ascii="Times New Roman" w:eastAsia="TimesNewRoman" w:hAnsi="Times New Roman"/>
          <w:sz w:val="24"/>
          <w:szCs w:val="24"/>
          <w:lang w:eastAsia="ru-RU"/>
        </w:rPr>
        <w:t>о</w:t>
      </w:r>
      <w:r w:rsidR="007836AE" w:rsidRPr="005D1193">
        <w:rPr>
          <w:rFonts w:ascii="Times New Roman" w:eastAsia="TimesNewRoman" w:hAnsi="Times New Roman"/>
          <w:sz w:val="24"/>
          <w:szCs w:val="24"/>
          <w:lang w:eastAsia="ru-RU"/>
        </w:rPr>
        <w:t>дії на випадок невиконання учасником клірингу своїх обов</w:t>
      </w:r>
      <w:r w:rsidR="005F41FA" w:rsidRPr="005D1193">
        <w:rPr>
          <w:rFonts w:ascii="Times New Roman" w:eastAsia="TimesNewRoman" w:hAnsi="Times New Roman"/>
          <w:sz w:val="24"/>
          <w:szCs w:val="24"/>
          <w:lang w:eastAsia="ru-RU"/>
        </w:rPr>
        <w:t>’</w:t>
      </w:r>
      <w:r w:rsidR="007836AE" w:rsidRPr="005D1193">
        <w:rPr>
          <w:rFonts w:ascii="Times New Roman" w:eastAsia="TimesNewRoman" w:hAnsi="Times New Roman"/>
          <w:sz w:val="24"/>
          <w:szCs w:val="24"/>
          <w:lang w:eastAsia="ru-RU"/>
        </w:rPr>
        <w:t>язків;</w:t>
      </w:r>
    </w:p>
    <w:p w14:paraId="6135E7EB" w14:textId="0BA38E72" w:rsidR="00461444" w:rsidRPr="005D1193" w:rsidRDefault="001F03A1" w:rsidP="000A39DA">
      <w:pPr>
        <w:pStyle w:val="a5"/>
        <w:numPr>
          <w:ilvl w:val="0"/>
          <w:numId w:val="5"/>
        </w:numPr>
        <w:tabs>
          <w:tab w:val="left" w:pos="284"/>
          <w:tab w:val="left" w:pos="993"/>
          <w:tab w:val="left" w:pos="1134"/>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д</w:t>
      </w:r>
      <w:r w:rsidR="00AA47F5" w:rsidRPr="005D1193">
        <w:rPr>
          <w:rFonts w:ascii="Times New Roman" w:eastAsia="TimesNewRoman" w:hAnsi="Times New Roman"/>
          <w:sz w:val="24"/>
          <w:szCs w:val="24"/>
          <w:lang w:eastAsia="ru-RU"/>
        </w:rPr>
        <w:t xml:space="preserve">ля біржових правочинів, що </w:t>
      </w:r>
      <w:r w:rsidR="00846E2F" w:rsidRPr="005D1193">
        <w:rPr>
          <w:rFonts w:ascii="Times New Roman" w:eastAsia="TimesNewRoman" w:hAnsi="Times New Roman"/>
          <w:sz w:val="24"/>
          <w:szCs w:val="24"/>
          <w:lang w:eastAsia="ru-RU"/>
        </w:rPr>
        <w:t>виконуються</w:t>
      </w:r>
      <w:r w:rsidR="00AA47F5" w:rsidRPr="005D1193">
        <w:rPr>
          <w:rFonts w:ascii="Times New Roman" w:eastAsia="TimesNewRoman" w:hAnsi="Times New Roman"/>
          <w:sz w:val="24"/>
          <w:szCs w:val="24"/>
          <w:lang w:eastAsia="ru-RU"/>
        </w:rPr>
        <w:t xml:space="preserve"> за механізмом стовідсоткового </w:t>
      </w:r>
      <w:r w:rsidR="00846E2F" w:rsidRPr="005D1193">
        <w:rPr>
          <w:rFonts w:ascii="Times New Roman" w:eastAsia="TimesNewRoman" w:hAnsi="Times New Roman"/>
          <w:sz w:val="24"/>
          <w:szCs w:val="24"/>
          <w:lang w:eastAsia="ru-RU"/>
        </w:rPr>
        <w:t xml:space="preserve">попереднього </w:t>
      </w:r>
      <w:r w:rsidR="00234F91" w:rsidRPr="005D1193">
        <w:rPr>
          <w:rFonts w:ascii="Times New Roman" w:eastAsia="TimesNewRoman" w:hAnsi="Times New Roman"/>
          <w:sz w:val="24"/>
          <w:szCs w:val="24"/>
          <w:lang w:eastAsia="ru-RU"/>
        </w:rPr>
        <w:t>депонування</w:t>
      </w:r>
      <w:r w:rsidR="00234F91" w:rsidRPr="005D1193">
        <w:rPr>
          <w:rFonts w:ascii="Times New Roman" w:hAnsi="Times New Roman"/>
          <w:sz w:val="24"/>
          <w:szCs w:val="24"/>
        </w:rPr>
        <w:t xml:space="preserve"> та </w:t>
      </w:r>
      <w:r w:rsidR="00846E2F" w:rsidRPr="005D1193">
        <w:rPr>
          <w:rFonts w:ascii="Times New Roman" w:hAnsi="Times New Roman"/>
          <w:sz w:val="24"/>
          <w:szCs w:val="24"/>
        </w:rPr>
        <w:t xml:space="preserve">резервування </w:t>
      </w:r>
      <w:r w:rsidR="00AA47F5" w:rsidRPr="005D1193">
        <w:rPr>
          <w:rFonts w:ascii="Times New Roman" w:eastAsia="TimesNewRoman" w:hAnsi="Times New Roman"/>
          <w:sz w:val="24"/>
          <w:szCs w:val="24"/>
          <w:lang w:eastAsia="ru-RU"/>
        </w:rPr>
        <w:t>активів</w:t>
      </w:r>
      <w:r w:rsidR="00846E2F" w:rsidRPr="005D1193">
        <w:rPr>
          <w:rFonts w:ascii="Times New Roman" w:eastAsia="TimesNewRoman" w:hAnsi="Times New Roman"/>
          <w:sz w:val="24"/>
          <w:szCs w:val="24"/>
          <w:lang w:eastAsia="ru-RU"/>
        </w:rPr>
        <w:t>,</w:t>
      </w:r>
      <w:r w:rsidR="00AA47F5" w:rsidRPr="005D1193">
        <w:rPr>
          <w:rFonts w:ascii="Times New Roman" w:eastAsia="TimesNewRoman" w:hAnsi="Times New Roman"/>
          <w:sz w:val="24"/>
          <w:szCs w:val="24"/>
          <w:lang w:eastAsia="ru-RU"/>
        </w:rPr>
        <w:t xml:space="preserve"> Розрахунковий центр використовує інформаційну та облікову систему, що забезпечує чітку відповідність інформації облікованої у системі</w:t>
      </w:r>
      <w:r w:rsidR="00846E2F" w:rsidRPr="005D1193">
        <w:rPr>
          <w:rFonts w:ascii="Times New Roman" w:eastAsia="TimesNewRoman" w:hAnsi="Times New Roman"/>
          <w:sz w:val="24"/>
          <w:szCs w:val="24"/>
          <w:lang w:eastAsia="ru-RU"/>
        </w:rPr>
        <w:t xml:space="preserve"> клірингового обліку</w:t>
      </w:r>
      <w:r w:rsidR="00AA47F5" w:rsidRPr="005D1193">
        <w:rPr>
          <w:rFonts w:ascii="Times New Roman" w:eastAsia="TimesNewRoman" w:hAnsi="Times New Roman"/>
          <w:sz w:val="24"/>
          <w:szCs w:val="24"/>
          <w:lang w:eastAsia="ru-RU"/>
        </w:rPr>
        <w:t xml:space="preserve">, інформації </w:t>
      </w:r>
      <w:r w:rsidR="00D31C89" w:rsidRPr="005D1193">
        <w:rPr>
          <w:rFonts w:ascii="Times New Roman" w:eastAsia="TimesNewRoman" w:hAnsi="Times New Roman"/>
          <w:sz w:val="24"/>
          <w:szCs w:val="24"/>
          <w:lang w:eastAsia="ru-RU"/>
        </w:rPr>
        <w:t>в</w:t>
      </w:r>
      <w:r w:rsidR="00AA47F5" w:rsidRPr="005D1193">
        <w:rPr>
          <w:rFonts w:ascii="Times New Roman" w:eastAsia="TimesNewRoman" w:hAnsi="Times New Roman"/>
          <w:sz w:val="24"/>
          <w:szCs w:val="24"/>
          <w:lang w:eastAsia="ru-RU"/>
        </w:rPr>
        <w:t xml:space="preserve"> </w:t>
      </w:r>
      <w:r w:rsidR="00D31C89" w:rsidRPr="005D1193">
        <w:rPr>
          <w:rFonts w:ascii="Times New Roman" w:eastAsia="Times New Roman" w:hAnsi="Times New Roman"/>
          <w:sz w:val="24"/>
          <w:szCs w:val="24"/>
          <w:lang w:eastAsia="ru-RU"/>
        </w:rPr>
        <w:t>Автоматизованій банківській системі</w:t>
      </w:r>
      <w:r w:rsidR="00AA47F5" w:rsidRPr="005D1193">
        <w:rPr>
          <w:rFonts w:ascii="Times New Roman" w:eastAsia="TimesNewRoman" w:hAnsi="Times New Roman"/>
          <w:sz w:val="24"/>
          <w:szCs w:val="24"/>
          <w:lang w:eastAsia="ru-RU"/>
        </w:rPr>
        <w:t>, інформації</w:t>
      </w:r>
      <w:r w:rsidR="00880123" w:rsidRPr="005D1193">
        <w:rPr>
          <w:rFonts w:ascii="Times New Roman" w:eastAsia="TimesNewRoman" w:hAnsi="Times New Roman"/>
          <w:sz w:val="24"/>
          <w:szCs w:val="24"/>
          <w:lang w:eastAsia="ru-RU"/>
        </w:rPr>
        <w:t>,</w:t>
      </w:r>
      <w:r w:rsidR="00AA47F5" w:rsidRPr="005D1193">
        <w:rPr>
          <w:rFonts w:ascii="Times New Roman" w:eastAsia="TimesNewRoman" w:hAnsi="Times New Roman"/>
          <w:sz w:val="24"/>
          <w:szCs w:val="24"/>
          <w:lang w:eastAsia="ru-RU"/>
        </w:rPr>
        <w:t xml:space="preserve"> отриман</w:t>
      </w:r>
      <w:r w:rsidR="00846E2F" w:rsidRPr="005D1193">
        <w:rPr>
          <w:rFonts w:ascii="Times New Roman" w:eastAsia="TimesNewRoman" w:hAnsi="Times New Roman"/>
          <w:sz w:val="24"/>
          <w:szCs w:val="24"/>
          <w:lang w:eastAsia="ru-RU"/>
        </w:rPr>
        <w:t>ій</w:t>
      </w:r>
      <w:r w:rsidR="00AA47F5" w:rsidRPr="005D1193">
        <w:rPr>
          <w:rFonts w:ascii="Times New Roman" w:eastAsia="TimesNewRoman" w:hAnsi="Times New Roman"/>
          <w:sz w:val="24"/>
          <w:szCs w:val="24"/>
          <w:lang w:eastAsia="ru-RU"/>
        </w:rPr>
        <w:t xml:space="preserve"> від Національного депозитарію України </w:t>
      </w:r>
      <w:r w:rsidR="00846E2F" w:rsidRPr="005D1193">
        <w:rPr>
          <w:rFonts w:ascii="Times New Roman" w:eastAsia="TimesNewRoman" w:hAnsi="Times New Roman"/>
          <w:sz w:val="24"/>
          <w:szCs w:val="24"/>
          <w:lang w:eastAsia="ru-RU"/>
        </w:rPr>
        <w:t xml:space="preserve">і </w:t>
      </w:r>
      <w:r w:rsidR="00AA47F5" w:rsidRPr="005D1193">
        <w:rPr>
          <w:rFonts w:ascii="Times New Roman" w:eastAsia="TimesNewRoman" w:hAnsi="Times New Roman"/>
          <w:sz w:val="24"/>
          <w:szCs w:val="24"/>
          <w:lang w:eastAsia="ru-RU"/>
        </w:rPr>
        <w:t>депозита</w:t>
      </w:r>
      <w:r w:rsidR="00C805E9" w:rsidRPr="005D1193">
        <w:rPr>
          <w:rFonts w:ascii="Times New Roman" w:eastAsia="TimesNewRoman" w:hAnsi="Times New Roman"/>
          <w:sz w:val="24"/>
          <w:szCs w:val="24"/>
          <w:lang w:eastAsia="ru-RU"/>
        </w:rPr>
        <w:t>рію</w:t>
      </w:r>
      <w:r w:rsidR="00D05A2D" w:rsidRPr="005D1193">
        <w:rPr>
          <w:rFonts w:ascii="Times New Roman" w:eastAsia="TimesNewRoman" w:hAnsi="Times New Roman"/>
          <w:sz w:val="24"/>
          <w:szCs w:val="24"/>
          <w:lang w:eastAsia="ru-RU"/>
        </w:rPr>
        <w:t xml:space="preserve"> НБУ</w:t>
      </w:r>
      <w:r w:rsidR="00880123" w:rsidRPr="005D1193">
        <w:rPr>
          <w:rFonts w:ascii="Times New Roman" w:eastAsia="TimesNewRoman" w:hAnsi="Times New Roman"/>
          <w:sz w:val="24"/>
          <w:szCs w:val="24"/>
          <w:lang w:eastAsia="ru-RU"/>
        </w:rPr>
        <w:t>,</w:t>
      </w:r>
      <w:r w:rsidR="00C805E9" w:rsidRPr="005D1193">
        <w:rPr>
          <w:rFonts w:ascii="Times New Roman" w:eastAsia="TimesNewRoman" w:hAnsi="Times New Roman"/>
          <w:sz w:val="24"/>
          <w:szCs w:val="24"/>
          <w:lang w:eastAsia="ru-RU"/>
        </w:rPr>
        <w:t xml:space="preserve"> </w:t>
      </w:r>
      <w:r w:rsidR="00846E2F" w:rsidRPr="005D1193">
        <w:rPr>
          <w:rFonts w:ascii="Times New Roman" w:eastAsia="TimesNewRoman" w:hAnsi="Times New Roman"/>
          <w:sz w:val="24"/>
          <w:szCs w:val="24"/>
          <w:lang w:eastAsia="ru-RU"/>
        </w:rPr>
        <w:t xml:space="preserve">та </w:t>
      </w:r>
      <w:r w:rsidR="00C805E9" w:rsidRPr="005D1193">
        <w:rPr>
          <w:rFonts w:ascii="Times New Roman" w:eastAsia="TimesNewRoman" w:hAnsi="Times New Roman"/>
          <w:sz w:val="24"/>
          <w:szCs w:val="24"/>
          <w:lang w:eastAsia="ru-RU"/>
        </w:rPr>
        <w:t>інформації</w:t>
      </w:r>
      <w:r w:rsidR="00846E2F" w:rsidRPr="005D1193">
        <w:rPr>
          <w:rFonts w:ascii="Times New Roman" w:eastAsia="TimesNewRoman" w:hAnsi="Times New Roman"/>
          <w:sz w:val="24"/>
          <w:szCs w:val="24"/>
          <w:lang w:eastAsia="ru-RU"/>
        </w:rPr>
        <w:t>,</w:t>
      </w:r>
      <w:r w:rsidR="00C805E9" w:rsidRPr="005D1193">
        <w:rPr>
          <w:rFonts w:ascii="Times New Roman" w:eastAsia="TimesNewRoman" w:hAnsi="Times New Roman"/>
          <w:sz w:val="24"/>
          <w:szCs w:val="24"/>
          <w:lang w:eastAsia="ru-RU"/>
        </w:rPr>
        <w:t xml:space="preserve"> </w:t>
      </w:r>
      <w:r w:rsidR="006015D7" w:rsidRPr="005D1193">
        <w:rPr>
          <w:rFonts w:ascii="Times New Roman" w:eastAsia="TimesNewRoman" w:hAnsi="Times New Roman"/>
          <w:sz w:val="24"/>
          <w:szCs w:val="24"/>
          <w:lang w:eastAsia="ru-RU"/>
        </w:rPr>
        <w:t>що надається</w:t>
      </w:r>
      <w:r w:rsidR="00A629B6" w:rsidRPr="005D1193">
        <w:rPr>
          <w:rFonts w:ascii="Times New Roman" w:eastAsia="TimesNewRoman" w:hAnsi="Times New Roman"/>
          <w:sz w:val="24"/>
          <w:szCs w:val="24"/>
          <w:lang w:eastAsia="ru-RU"/>
        </w:rPr>
        <w:t xml:space="preserve"> фондовим</w:t>
      </w:r>
      <w:r w:rsidR="00C805E9" w:rsidRPr="005D1193">
        <w:rPr>
          <w:rFonts w:ascii="Times New Roman" w:eastAsia="TimesNewRoman" w:hAnsi="Times New Roman"/>
          <w:sz w:val="24"/>
          <w:szCs w:val="24"/>
          <w:lang w:eastAsia="ru-RU"/>
        </w:rPr>
        <w:t xml:space="preserve"> біржам для забезпечення укладання біржових правочинів.</w:t>
      </w:r>
    </w:p>
    <w:p w14:paraId="6C0F1E73" w14:textId="1E3E3EAF" w:rsidR="00461444" w:rsidRPr="005D1193" w:rsidRDefault="00320C9B" w:rsidP="000A39DA">
      <w:pPr>
        <w:pStyle w:val="a5"/>
        <w:shd w:val="clear" w:color="auto" w:fill="FFFFFF"/>
        <w:tabs>
          <w:tab w:val="left" w:pos="0"/>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6</w:t>
      </w:r>
      <w:r w:rsidR="00E0788A" w:rsidRPr="005D1193">
        <w:rPr>
          <w:rFonts w:ascii="Times New Roman" w:hAnsi="Times New Roman"/>
          <w:sz w:val="24"/>
          <w:szCs w:val="24"/>
        </w:rPr>
        <w:t>.2</w:t>
      </w:r>
      <w:r w:rsidR="00461444" w:rsidRPr="005D1193">
        <w:rPr>
          <w:rFonts w:ascii="Times New Roman" w:hAnsi="Times New Roman"/>
          <w:sz w:val="24"/>
          <w:szCs w:val="24"/>
        </w:rPr>
        <w:t>. З м</w:t>
      </w:r>
      <w:r w:rsidR="00E0788A" w:rsidRPr="005D1193">
        <w:rPr>
          <w:rFonts w:ascii="Times New Roman" w:hAnsi="Times New Roman"/>
          <w:sz w:val="24"/>
          <w:szCs w:val="24"/>
        </w:rPr>
        <w:t xml:space="preserve">етою зниження </w:t>
      </w:r>
      <w:r w:rsidR="00386593" w:rsidRPr="005D1193">
        <w:rPr>
          <w:rFonts w:ascii="Times New Roman" w:hAnsi="Times New Roman"/>
          <w:sz w:val="24"/>
          <w:szCs w:val="24"/>
        </w:rPr>
        <w:t>рівня ризиків</w:t>
      </w:r>
      <w:r w:rsidR="00461444" w:rsidRPr="005D1193">
        <w:rPr>
          <w:rFonts w:ascii="Times New Roman" w:hAnsi="Times New Roman"/>
          <w:sz w:val="24"/>
          <w:szCs w:val="24"/>
        </w:rPr>
        <w:t xml:space="preserve"> Розрахунковий центр:</w:t>
      </w:r>
    </w:p>
    <w:p w14:paraId="1B101A31" w14:textId="010746B9" w:rsidR="00F430C7" w:rsidRPr="005D1193" w:rsidRDefault="00320C9B" w:rsidP="000A39DA">
      <w:pPr>
        <w:pStyle w:val="a5"/>
        <w:shd w:val="clear" w:color="auto" w:fill="FFFFFF"/>
        <w:tabs>
          <w:tab w:val="left" w:pos="0"/>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6</w:t>
      </w:r>
      <w:r w:rsidR="00E0788A" w:rsidRPr="005D1193">
        <w:rPr>
          <w:rFonts w:ascii="Times New Roman" w:hAnsi="Times New Roman"/>
          <w:sz w:val="24"/>
          <w:szCs w:val="24"/>
        </w:rPr>
        <w:t xml:space="preserve">.2.1. </w:t>
      </w:r>
      <w:r w:rsidR="00F4143B" w:rsidRPr="005D1193">
        <w:rPr>
          <w:rFonts w:ascii="Times New Roman" w:hAnsi="Times New Roman"/>
          <w:sz w:val="24"/>
          <w:szCs w:val="24"/>
        </w:rPr>
        <w:t>з</w:t>
      </w:r>
      <w:r w:rsidR="00F430C7" w:rsidRPr="005D1193">
        <w:rPr>
          <w:rFonts w:ascii="Times New Roman" w:hAnsi="Times New Roman"/>
          <w:sz w:val="24"/>
          <w:szCs w:val="24"/>
        </w:rPr>
        <w:t xml:space="preserve">дійснює щонайменше </w:t>
      </w:r>
      <w:r w:rsidR="002A43FF" w:rsidRPr="005D1193">
        <w:rPr>
          <w:rFonts w:ascii="Times New Roman" w:hAnsi="Times New Roman"/>
          <w:sz w:val="24"/>
          <w:szCs w:val="24"/>
        </w:rPr>
        <w:t>кожного операційного дня</w:t>
      </w:r>
      <w:r w:rsidR="00F430C7" w:rsidRPr="005D1193">
        <w:rPr>
          <w:rFonts w:ascii="Times New Roman" w:hAnsi="Times New Roman"/>
          <w:sz w:val="24"/>
          <w:szCs w:val="24"/>
        </w:rPr>
        <w:t xml:space="preserve"> перерахунок </w:t>
      </w:r>
      <w:r w:rsidR="005046E2" w:rsidRPr="005D1193">
        <w:rPr>
          <w:rFonts w:ascii="Times New Roman" w:hAnsi="Times New Roman"/>
          <w:sz w:val="24"/>
          <w:szCs w:val="24"/>
        </w:rPr>
        <w:t>ри</w:t>
      </w:r>
      <w:r w:rsidR="000B3847" w:rsidRPr="005D1193">
        <w:rPr>
          <w:rFonts w:ascii="Times New Roman" w:hAnsi="Times New Roman"/>
          <w:sz w:val="24"/>
          <w:szCs w:val="24"/>
        </w:rPr>
        <w:t>н</w:t>
      </w:r>
      <w:r w:rsidR="005046E2" w:rsidRPr="005D1193">
        <w:rPr>
          <w:rFonts w:ascii="Times New Roman" w:hAnsi="Times New Roman"/>
          <w:sz w:val="24"/>
          <w:szCs w:val="24"/>
        </w:rPr>
        <w:t xml:space="preserve">кової </w:t>
      </w:r>
      <w:r w:rsidR="00F430C7" w:rsidRPr="005D1193">
        <w:rPr>
          <w:rFonts w:ascii="Times New Roman" w:hAnsi="Times New Roman"/>
          <w:sz w:val="24"/>
          <w:szCs w:val="24"/>
        </w:rPr>
        <w:t>вартості цінних паперів</w:t>
      </w:r>
      <w:r w:rsidR="00F4143B" w:rsidRPr="005D1193">
        <w:rPr>
          <w:rFonts w:ascii="Times New Roman" w:hAnsi="Times New Roman"/>
          <w:sz w:val="24"/>
          <w:szCs w:val="24"/>
        </w:rPr>
        <w:t>,</w:t>
      </w:r>
      <w:r w:rsidR="00F430C7" w:rsidRPr="005D1193">
        <w:rPr>
          <w:rFonts w:ascii="Times New Roman" w:hAnsi="Times New Roman"/>
          <w:sz w:val="24"/>
          <w:szCs w:val="24"/>
        </w:rPr>
        <w:t xml:space="preserve"> за</w:t>
      </w:r>
      <w:r w:rsidR="00234F91" w:rsidRPr="005D1193">
        <w:rPr>
          <w:rFonts w:ascii="Times New Roman" w:hAnsi="Times New Roman"/>
          <w:sz w:val="24"/>
          <w:szCs w:val="24"/>
        </w:rPr>
        <w:t xml:space="preserve"> правочинами щодо</w:t>
      </w:r>
      <w:r w:rsidR="00F430C7" w:rsidRPr="005D1193">
        <w:rPr>
          <w:rFonts w:ascii="Times New Roman" w:hAnsi="Times New Roman"/>
          <w:sz w:val="24"/>
          <w:szCs w:val="24"/>
        </w:rPr>
        <w:t xml:space="preserve"> яки</w:t>
      </w:r>
      <w:r w:rsidR="00234F91" w:rsidRPr="005D1193">
        <w:rPr>
          <w:rFonts w:ascii="Times New Roman" w:hAnsi="Times New Roman"/>
          <w:sz w:val="24"/>
          <w:szCs w:val="24"/>
        </w:rPr>
        <w:t>х</w:t>
      </w:r>
      <w:r w:rsidR="00F430C7" w:rsidRPr="005D1193">
        <w:rPr>
          <w:rFonts w:ascii="Times New Roman" w:hAnsi="Times New Roman"/>
          <w:sz w:val="24"/>
          <w:szCs w:val="24"/>
        </w:rPr>
        <w:t xml:space="preserve"> здійснюється кліринг та розрахунки</w:t>
      </w:r>
      <w:r w:rsidR="00F4143B" w:rsidRPr="005D1193">
        <w:rPr>
          <w:rFonts w:ascii="Times New Roman" w:hAnsi="Times New Roman"/>
          <w:sz w:val="24"/>
          <w:szCs w:val="24"/>
        </w:rPr>
        <w:t>,</w:t>
      </w:r>
      <w:r w:rsidR="00F430C7" w:rsidRPr="005D1193">
        <w:rPr>
          <w:rFonts w:ascii="Times New Roman" w:hAnsi="Times New Roman"/>
          <w:sz w:val="24"/>
          <w:szCs w:val="24"/>
        </w:rPr>
        <w:t xml:space="preserve"> які гарантовані </w:t>
      </w:r>
      <w:r w:rsidR="00CE200E" w:rsidRPr="005D1193">
        <w:rPr>
          <w:rFonts w:ascii="Times New Roman" w:hAnsi="Times New Roman"/>
          <w:sz w:val="24"/>
          <w:szCs w:val="24"/>
        </w:rPr>
        <w:t>г</w:t>
      </w:r>
      <w:r w:rsidR="00F430C7" w:rsidRPr="005D1193">
        <w:rPr>
          <w:rFonts w:ascii="Times New Roman" w:hAnsi="Times New Roman"/>
          <w:sz w:val="24"/>
          <w:szCs w:val="24"/>
        </w:rPr>
        <w:t xml:space="preserve">арантійним забезпеченням або які </w:t>
      </w:r>
      <w:r w:rsidR="00F4143B" w:rsidRPr="005D1193">
        <w:rPr>
          <w:rFonts w:ascii="Times New Roman" w:hAnsi="Times New Roman"/>
          <w:sz w:val="24"/>
          <w:szCs w:val="24"/>
        </w:rPr>
        <w:t>внесені</w:t>
      </w:r>
      <w:r w:rsidR="00F430C7" w:rsidRPr="005D1193">
        <w:rPr>
          <w:rFonts w:ascii="Times New Roman" w:hAnsi="Times New Roman"/>
          <w:sz w:val="24"/>
          <w:szCs w:val="24"/>
        </w:rPr>
        <w:t xml:space="preserve"> в якості </w:t>
      </w:r>
      <w:r w:rsidR="00CE200E" w:rsidRPr="005D1193">
        <w:rPr>
          <w:rFonts w:ascii="Times New Roman" w:hAnsi="Times New Roman"/>
          <w:sz w:val="24"/>
          <w:szCs w:val="24"/>
        </w:rPr>
        <w:t>г</w:t>
      </w:r>
      <w:r w:rsidR="00F430C7" w:rsidRPr="005D1193">
        <w:rPr>
          <w:rFonts w:ascii="Times New Roman" w:hAnsi="Times New Roman"/>
          <w:sz w:val="24"/>
          <w:szCs w:val="24"/>
        </w:rPr>
        <w:t>арантійного забезпечення;</w:t>
      </w:r>
    </w:p>
    <w:p w14:paraId="53C97961" w14:textId="65C794D9" w:rsidR="00F430C7" w:rsidRPr="005D1193" w:rsidRDefault="00320C9B" w:rsidP="000A39DA">
      <w:pPr>
        <w:pStyle w:val="a5"/>
        <w:shd w:val="clear" w:color="auto" w:fill="FFFFFF"/>
        <w:tabs>
          <w:tab w:val="left" w:pos="0"/>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6</w:t>
      </w:r>
      <w:r w:rsidR="00F430C7" w:rsidRPr="005D1193">
        <w:rPr>
          <w:rFonts w:ascii="Times New Roman" w:hAnsi="Times New Roman"/>
          <w:sz w:val="24"/>
          <w:szCs w:val="24"/>
        </w:rPr>
        <w:t xml:space="preserve">.2.2. </w:t>
      </w:r>
      <w:r w:rsidR="00E0788A" w:rsidRPr="005D1193">
        <w:rPr>
          <w:rFonts w:ascii="Times New Roman" w:hAnsi="Times New Roman"/>
          <w:sz w:val="24"/>
          <w:szCs w:val="24"/>
        </w:rPr>
        <w:t>з</w:t>
      </w:r>
      <w:r w:rsidR="00461444" w:rsidRPr="005D1193">
        <w:rPr>
          <w:rFonts w:ascii="Times New Roman" w:hAnsi="Times New Roman"/>
          <w:sz w:val="24"/>
          <w:szCs w:val="24"/>
        </w:rPr>
        <w:t xml:space="preserve">абезпечує </w:t>
      </w:r>
      <w:r w:rsidR="009103BE" w:rsidRPr="005D1193">
        <w:rPr>
          <w:rFonts w:ascii="Times New Roman" w:hAnsi="Times New Roman"/>
          <w:sz w:val="24"/>
          <w:szCs w:val="24"/>
        </w:rPr>
        <w:t xml:space="preserve">протягом </w:t>
      </w:r>
      <w:r w:rsidR="002A43FF" w:rsidRPr="005D1193">
        <w:rPr>
          <w:rFonts w:ascii="Times New Roman" w:hAnsi="Times New Roman"/>
          <w:sz w:val="24"/>
          <w:szCs w:val="24"/>
        </w:rPr>
        <w:t xml:space="preserve">кожного операційного дня </w:t>
      </w:r>
      <w:r w:rsidR="00461444" w:rsidRPr="005D1193">
        <w:rPr>
          <w:rFonts w:ascii="Times New Roman" w:hAnsi="Times New Roman"/>
          <w:sz w:val="24"/>
          <w:szCs w:val="24"/>
        </w:rPr>
        <w:t xml:space="preserve">контроль за достатністю  </w:t>
      </w:r>
      <w:r w:rsidR="00234F91" w:rsidRPr="005D1193">
        <w:rPr>
          <w:rFonts w:ascii="Times New Roman" w:hAnsi="Times New Roman"/>
          <w:sz w:val="24"/>
          <w:szCs w:val="24"/>
        </w:rPr>
        <w:t>г</w:t>
      </w:r>
      <w:r w:rsidR="0099207B" w:rsidRPr="005D1193">
        <w:rPr>
          <w:rFonts w:ascii="Times New Roman" w:hAnsi="Times New Roman"/>
          <w:sz w:val="24"/>
          <w:szCs w:val="24"/>
        </w:rPr>
        <w:t xml:space="preserve">арантійного </w:t>
      </w:r>
      <w:r w:rsidR="00461444" w:rsidRPr="005D1193">
        <w:rPr>
          <w:rFonts w:ascii="Times New Roman" w:hAnsi="Times New Roman"/>
          <w:sz w:val="24"/>
          <w:szCs w:val="24"/>
        </w:rPr>
        <w:t xml:space="preserve">забезпечення </w:t>
      </w:r>
      <w:r w:rsidR="0099207B" w:rsidRPr="005D1193">
        <w:rPr>
          <w:rFonts w:ascii="Times New Roman" w:hAnsi="Times New Roman"/>
          <w:sz w:val="24"/>
          <w:szCs w:val="24"/>
        </w:rPr>
        <w:t>за кожним зобов</w:t>
      </w:r>
      <w:r w:rsidR="005F41FA" w:rsidRPr="005D1193">
        <w:rPr>
          <w:rFonts w:ascii="Times New Roman" w:hAnsi="Times New Roman"/>
          <w:sz w:val="24"/>
          <w:szCs w:val="24"/>
        </w:rPr>
        <w:t>’</w:t>
      </w:r>
      <w:r w:rsidR="0099207B" w:rsidRPr="005D1193">
        <w:rPr>
          <w:rFonts w:ascii="Times New Roman" w:hAnsi="Times New Roman"/>
          <w:sz w:val="24"/>
          <w:szCs w:val="24"/>
        </w:rPr>
        <w:t xml:space="preserve">язанням </w:t>
      </w:r>
      <w:r w:rsidR="00461444" w:rsidRPr="005D1193">
        <w:rPr>
          <w:rFonts w:ascii="Times New Roman" w:hAnsi="Times New Roman"/>
          <w:sz w:val="24"/>
          <w:szCs w:val="24"/>
        </w:rPr>
        <w:t>учасника клірингу</w:t>
      </w:r>
      <w:r w:rsidR="0099207B" w:rsidRPr="005D1193">
        <w:rPr>
          <w:rFonts w:ascii="Times New Roman" w:hAnsi="Times New Roman"/>
          <w:sz w:val="24"/>
          <w:szCs w:val="24"/>
        </w:rPr>
        <w:t xml:space="preserve">, що обліковується </w:t>
      </w:r>
      <w:r w:rsidR="00F430C7" w:rsidRPr="005D1193">
        <w:rPr>
          <w:rFonts w:ascii="Times New Roman" w:hAnsi="Times New Roman"/>
          <w:sz w:val="24"/>
          <w:szCs w:val="24"/>
        </w:rPr>
        <w:t>в системі клірингового обліку Розрахункового центру</w:t>
      </w:r>
      <w:r w:rsidR="00F4143B" w:rsidRPr="005D1193">
        <w:rPr>
          <w:rFonts w:ascii="Times New Roman" w:hAnsi="Times New Roman"/>
          <w:sz w:val="24"/>
          <w:szCs w:val="24"/>
        </w:rPr>
        <w:t>;</w:t>
      </w:r>
      <w:r w:rsidR="00F430C7" w:rsidRPr="005D1193">
        <w:rPr>
          <w:rFonts w:ascii="Times New Roman" w:hAnsi="Times New Roman"/>
          <w:sz w:val="24"/>
          <w:szCs w:val="24"/>
        </w:rPr>
        <w:t xml:space="preserve"> </w:t>
      </w:r>
    </w:p>
    <w:p w14:paraId="73426530" w14:textId="34A63A93" w:rsidR="00882631" w:rsidRPr="005D1193" w:rsidRDefault="00320C9B" w:rsidP="000A39DA">
      <w:pPr>
        <w:pStyle w:val="a5"/>
        <w:shd w:val="clear" w:color="auto" w:fill="FFFFFF"/>
        <w:tabs>
          <w:tab w:val="left" w:pos="0"/>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6</w:t>
      </w:r>
      <w:r w:rsidR="00F430C7" w:rsidRPr="005D1193">
        <w:rPr>
          <w:rFonts w:ascii="Times New Roman" w:hAnsi="Times New Roman"/>
          <w:sz w:val="24"/>
          <w:szCs w:val="24"/>
        </w:rPr>
        <w:t>.2.</w:t>
      </w:r>
      <w:r w:rsidR="00882631" w:rsidRPr="005D1193">
        <w:rPr>
          <w:rFonts w:ascii="Times New Roman" w:hAnsi="Times New Roman"/>
          <w:sz w:val="24"/>
          <w:szCs w:val="24"/>
        </w:rPr>
        <w:t>3</w:t>
      </w:r>
      <w:r w:rsidR="00F430C7" w:rsidRPr="005D1193">
        <w:rPr>
          <w:rFonts w:ascii="Times New Roman" w:hAnsi="Times New Roman"/>
          <w:sz w:val="24"/>
          <w:szCs w:val="24"/>
        </w:rPr>
        <w:t xml:space="preserve">. </w:t>
      </w:r>
      <w:r w:rsidR="00882631" w:rsidRPr="005D1193">
        <w:rPr>
          <w:rFonts w:ascii="Times New Roman" w:hAnsi="Times New Roman"/>
          <w:sz w:val="24"/>
          <w:szCs w:val="24"/>
        </w:rPr>
        <w:t>контрол</w:t>
      </w:r>
      <w:r w:rsidR="00803A02" w:rsidRPr="005D1193">
        <w:rPr>
          <w:rFonts w:ascii="Times New Roman" w:hAnsi="Times New Roman"/>
          <w:sz w:val="24"/>
          <w:szCs w:val="24"/>
        </w:rPr>
        <w:t>ює</w:t>
      </w:r>
      <w:r w:rsidR="00882631" w:rsidRPr="005D1193">
        <w:rPr>
          <w:rFonts w:ascii="Times New Roman" w:hAnsi="Times New Roman"/>
          <w:sz w:val="24"/>
          <w:szCs w:val="24"/>
        </w:rPr>
        <w:t xml:space="preserve"> достатн</w:t>
      </w:r>
      <w:r w:rsidR="00803A02" w:rsidRPr="005D1193">
        <w:rPr>
          <w:rFonts w:ascii="Times New Roman" w:hAnsi="Times New Roman"/>
          <w:sz w:val="24"/>
          <w:szCs w:val="24"/>
        </w:rPr>
        <w:t>ість</w:t>
      </w:r>
      <w:r w:rsidR="00882631" w:rsidRPr="005D1193">
        <w:rPr>
          <w:rFonts w:ascii="Times New Roman" w:hAnsi="Times New Roman"/>
          <w:sz w:val="24"/>
          <w:szCs w:val="24"/>
        </w:rPr>
        <w:t xml:space="preserve"> </w:t>
      </w:r>
      <w:r w:rsidR="00234F91" w:rsidRPr="005D1193">
        <w:rPr>
          <w:rFonts w:ascii="Times New Roman" w:hAnsi="Times New Roman"/>
          <w:sz w:val="24"/>
          <w:szCs w:val="24"/>
        </w:rPr>
        <w:t>г</w:t>
      </w:r>
      <w:r w:rsidR="00882631" w:rsidRPr="005D1193">
        <w:rPr>
          <w:rFonts w:ascii="Times New Roman" w:hAnsi="Times New Roman"/>
          <w:sz w:val="24"/>
          <w:szCs w:val="24"/>
        </w:rPr>
        <w:t>арантійного забезпечення за кожним зобов</w:t>
      </w:r>
      <w:r w:rsidR="005F41FA" w:rsidRPr="005D1193">
        <w:rPr>
          <w:rFonts w:ascii="Times New Roman" w:hAnsi="Times New Roman"/>
          <w:sz w:val="24"/>
          <w:szCs w:val="24"/>
        </w:rPr>
        <w:t>’</w:t>
      </w:r>
      <w:r w:rsidR="00882631" w:rsidRPr="005D1193">
        <w:rPr>
          <w:rFonts w:ascii="Times New Roman" w:hAnsi="Times New Roman"/>
          <w:sz w:val="24"/>
          <w:szCs w:val="24"/>
        </w:rPr>
        <w:t xml:space="preserve">язанням </w:t>
      </w:r>
      <w:r w:rsidR="00B70D37" w:rsidRPr="005D1193">
        <w:rPr>
          <w:rFonts w:ascii="Times New Roman" w:hAnsi="Times New Roman"/>
          <w:sz w:val="24"/>
          <w:szCs w:val="24"/>
        </w:rPr>
        <w:t xml:space="preserve">учасника клірингу </w:t>
      </w:r>
      <w:r w:rsidR="00882631" w:rsidRPr="005D1193">
        <w:rPr>
          <w:rFonts w:ascii="Times New Roman" w:hAnsi="Times New Roman"/>
          <w:sz w:val="24"/>
          <w:szCs w:val="24"/>
        </w:rPr>
        <w:t>з оплати</w:t>
      </w:r>
      <w:r w:rsidR="00F4143B" w:rsidRPr="005D1193">
        <w:rPr>
          <w:rFonts w:ascii="Times New Roman" w:hAnsi="Times New Roman"/>
          <w:sz w:val="24"/>
          <w:szCs w:val="24"/>
        </w:rPr>
        <w:t xml:space="preserve"> </w:t>
      </w:r>
      <w:r w:rsidR="00882631" w:rsidRPr="005D1193">
        <w:rPr>
          <w:rFonts w:ascii="Times New Roman" w:hAnsi="Times New Roman"/>
          <w:sz w:val="24"/>
          <w:szCs w:val="24"/>
        </w:rPr>
        <w:t>/</w:t>
      </w:r>
      <w:r w:rsidR="00F4143B" w:rsidRPr="005D1193">
        <w:rPr>
          <w:rFonts w:ascii="Times New Roman" w:hAnsi="Times New Roman"/>
          <w:sz w:val="24"/>
          <w:szCs w:val="24"/>
        </w:rPr>
        <w:t xml:space="preserve"> </w:t>
      </w:r>
      <w:r w:rsidR="00882631" w:rsidRPr="005D1193">
        <w:rPr>
          <w:rFonts w:ascii="Times New Roman" w:hAnsi="Times New Roman"/>
          <w:sz w:val="24"/>
          <w:szCs w:val="24"/>
        </w:rPr>
        <w:t xml:space="preserve">поставки цінних паперів в розрізі кожного </w:t>
      </w:r>
      <w:r w:rsidR="00234F91" w:rsidRPr="005D1193">
        <w:rPr>
          <w:rFonts w:ascii="Times New Roman" w:hAnsi="Times New Roman"/>
          <w:sz w:val="24"/>
          <w:szCs w:val="24"/>
        </w:rPr>
        <w:t>випуску</w:t>
      </w:r>
      <w:r w:rsidR="00882631" w:rsidRPr="005D1193">
        <w:rPr>
          <w:rFonts w:ascii="Times New Roman" w:hAnsi="Times New Roman"/>
          <w:sz w:val="24"/>
          <w:szCs w:val="24"/>
        </w:rPr>
        <w:t xml:space="preserve"> цінн</w:t>
      </w:r>
      <w:r w:rsidR="00234F91" w:rsidRPr="005D1193">
        <w:rPr>
          <w:rFonts w:ascii="Times New Roman" w:hAnsi="Times New Roman"/>
          <w:sz w:val="24"/>
          <w:szCs w:val="24"/>
        </w:rPr>
        <w:t>их</w:t>
      </w:r>
      <w:r w:rsidR="00882631" w:rsidRPr="005D1193">
        <w:rPr>
          <w:rFonts w:ascii="Times New Roman" w:hAnsi="Times New Roman"/>
          <w:sz w:val="24"/>
          <w:szCs w:val="24"/>
        </w:rPr>
        <w:t xml:space="preserve"> папер</w:t>
      </w:r>
      <w:r w:rsidR="00234F91" w:rsidRPr="005D1193">
        <w:rPr>
          <w:rFonts w:ascii="Times New Roman" w:hAnsi="Times New Roman"/>
          <w:sz w:val="24"/>
          <w:szCs w:val="24"/>
        </w:rPr>
        <w:t>ів</w:t>
      </w:r>
      <w:r w:rsidR="00882631" w:rsidRPr="005D1193">
        <w:rPr>
          <w:rFonts w:ascii="Times New Roman" w:hAnsi="Times New Roman"/>
          <w:sz w:val="24"/>
          <w:szCs w:val="24"/>
        </w:rPr>
        <w:t xml:space="preserve"> у грошовому еквіваленті;</w:t>
      </w:r>
    </w:p>
    <w:p w14:paraId="5530D24E" w14:textId="6821E8E6" w:rsidR="004F207A" w:rsidRPr="005D1193" w:rsidRDefault="00320C9B" w:rsidP="000A39DA">
      <w:pPr>
        <w:pStyle w:val="a5"/>
        <w:shd w:val="clear" w:color="auto" w:fill="FFFFFF"/>
        <w:tabs>
          <w:tab w:val="left" w:pos="0"/>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lastRenderedPageBreak/>
        <w:t>6</w:t>
      </w:r>
      <w:r w:rsidR="004F207A" w:rsidRPr="005D1193">
        <w:rPr>
          <w:rFonts w:ascii="Times New Roman" w:hAnsi="Times New Roman"/>
          <w:sz w:val="24"/>
          <w:szCs w:val="24"/>
        </w:rPr>
        <w:t>.2.4. встановлює єдиний термін виконання зобов</w:t>
      </w:r>
      <w:r w:rsidR="005F41FA" w:rsidRPr="005D1193">
        <w:rPr>
          <w:rFonts w:ascii="Times New Roman" w:hAnsi="Times New Roman"/>
          <w:sz w:val="24"/>
          <w:szCs w:val="24"/>
        </w:rPr>
        <w:t>’</w:t>
      </w:r>
      <w:r w:rsidR="004F207A" w:rsidRPr="005D1193">
        <w:rPr>
          <w:rFonts w:ascii="Times New Roman" w:hAnsi="Times New Roman"/>
          <w:sz w:val="24"/>
          <w:szCs w:val="24"/>
        </w:rPr>
        <w:t>язань</w:t>
      </w:r>
      <w:r w:rsidR="005001BA" w:rsidRPr="005D1193">
        <w:rPr>
          <w:rFonts w:ascii="Times New Roman" w:hAnsi="Times New Roman"/>
          <w:sz w:val="24"/>
          <w:szCs w:val="24"/>
        </w:rPr>
        <w:t xml:space="preserve"> </w:t>
      </w:r>
      <w:r w:rsidR="00B70D37" w:rsidRPr="005D1193">
        <w:rPr>
          <w:rFonts w:ascii="Times New Roman" w:hAnsi="Times New Roman"/>
          <w:sz w:val="24"/>
          <w:szCs w:val="24"/>
        </w:rPr>
        <w:t xml:space="preserve">учасників клірингу </w:t>
      </w:r>
      <w:r w:rsidR="005001BA" w:rsidRPr="005D1193">
        <w:rPr>
          <w:rFonts w:ascii="Times New Roman" w:hAnsi="Times New Roman"/>
          <w:sz w:val="24"/>
          <w:szCs w:val="24"/>
        </w:rPr>
        <w:t xml:space="preserve">за </w:t>
      </w:r>
      <w:r w:rsidR="0094776E" w:rsidRPr="005D1193">
        <w:rPr>
          <w:rFonts w:ascii="Times New Roman" w:hAnsi="Times New Roman"/>
          <w:sz w:val="24"/>
          <w:szCs w:val="24"/>
        </w:rPr>
        <w:t xml:space="preserve">всіма </w:t>
      </w:r>
      <w:r w:rsidR="005001BA" w:rsidRPr="005D1193">
        <w:rPr>
          <w:rFonts w:ascii="Times New Roman" w:hAnsi="Times New Roman"/>
          <w:sz w:val="24"/>
          <w:szCs w:val="24"/>
        </w:rPr>
        <w:t>правочинами щодо цінних паперів</w:t>
      </w:r>
      <w:r w:rsidR="004F207A" w:rsidRPr="005D1193">
        <w:rPr>
          <w:rFonts w:ascii="Times New Roman" w:hAnsi="Times New Roman"/>
          <w:sz w:val="24"/>
          <w:szCs w:val="24"/>
        </w:rPr>
        <w:t xml:space="preserve">, що </w:t>
      </w:r>
      <w:r w:rsidR="0094776E" w:rsidRPr="005D1193">
        <w:rPr>
          <w:rFonts w:ascii="Times New Roman" w:hAnsi="Times New Roman"/>
          <w:sz w:val="24"/>
          <w:szCs w:val="24"/>
        </w:rPr>
        <w:t>включені до наданої Розрахунковому центру фондовою біржею відомості правочинів</w:t>
      </w:r>
      <w:r w:rsidR="004F207A" w:rsidRPr="005D1193">
        <w:rPr>
          <w:rFonts w:ascii="Times New Roman" w:hAnsi="Times New Roman"/>
          <w:sz w:val="24"/>
          <w:szCs w:val="24"/>
        </w:rPr>
        <w:t>;</w:t>
      </w:r>
    </w:p>
    <w:p w14:paraId="4D00DB84" w14:textId="05AF055B" w:rsidR="004F207A" w:rsidRPr="005D1193" w:rsidRDefault="00320C9B" w:rsidP="000A39DA">
      <w:pPr>
        <w:pStyle w:val="a5"/>
        <w:shd w:val="clear" w:color="auto" w:fill="FFFFFF"/>
        <w:tabs>
          <w:tab w:val="left" w:pos="0"/>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6</w:t>
      </w:r>
      <w:r w:rsidR="004F207A" w:rsidRPr="005D1193">
        <w:rPr>
          <w:rFonts w:ascii="Times New Roman" w:hAnsi="Times New Roman"/>
          <w:sz w:val="24"/>
          <w:szCs w:val="24"/>
        </w:rPr>
        <w:t>.2.5. встановлює цінов</w:t>
      </w:r>
      <w:r w:rsidR="00675CBB" w:rsidRPr="005D1193">
        <w:rPr>
          <w:rFonts w:ascii="Times New Roman" w:hAnsi="Times New Roman"/>
          <w:sz w:val="24"/>
          <w:szCs w:val="24"/>
        </w:rPr>
        <w:t>ий</w:t>
      </w:r>
      <w:r w:rsidR="004F207A" w:rsidRPr="005D1193">
        <w:rPr>
          <w:rFonts w:ascii="Times New Roman" w:hAnsi="Times New Roman"/>
          <w:sz w:val="24"/>
          <w:szCs w:val="24"/>
        </w:rPr>
        <w:t xml:space="preserve"> </w:t>
      </w:r>
      <w:r w:rsidR="00EE4B7F" w:rsidRPr="005D1193">
        <w:rPr>
          <w:rFonts w:ascii="Times New Roman" w:hAnsi="Times New Roman"/>
          <w:sz w:val="24"/>
          <w:szCs w:val="24"/>
        </w:rPr>
        <w:t xml:space="preserve">коридор </w:t>
      </w:r>
      <w:r w:rsidR="004F207A" w:rsidRPr="005D1193">
        <w:rPr>
          <w:rFonts w:ascii="Times New Roman" w:hAnsi="Times New Roman"/>
          <w:sz w:val="24"/>
          <w:szCs w:val="24"/>
        </w:rPr>
        <w:t xml:space="preserve">відносно </w:t>
      </w:r>
      <w:r w:rsidR="005046E2" w:rsidRPr="005D1193">
        <w:rPr>
          <w:rFonts w:ascii="Times New Roman" w:hAnsi="Times New Roman"/>
          <w:sz w:val="24"/>
          <w:szCs w:val="24"/>
        </w:rPr>
        <w:t xml:space="preserve">ринкової </w:t>
      </w:r>
      <w:r w:rsidR="004F207A" w:rsidRPr="005D1193">
        <w:rPr>
          <w:rFonts w:ascii="Times New Roman" w:hAnsi="Times New Roman"/>
          <w:sz w:val="24"/>
          <w:szCs w:val="24"/>
        </w:rPr>
        <w:t>вартості</w:t>
      </w:r>
      <w:r w:rsidR="00A07057" w:rsidRPr="005D1193">
        <w:rPr>
          <w:rFonts w:ascii="Times New Roman" w:hAnsi="Times New Roman"/>
          <w:sz w:val="24"/>
          <w:szCs w:val="24"/>
        </w:rPr>
        <w:t xml:space="preserve"> цінних паперів </w:t>
      </w:r>
      <w:r w:rsidR="00675CBB" w:rsidRPr="005D1193">
        <w:rPr>
          <w:rFonts w:ascii="Times New Roman" w:hAnsi="Times New Roman"/>
          <w:sz w:val="24"/>
          <w:szCs w:val="24"/>
        </w:rPr>
        <w:t xml:space="preserve">за правочинами </w:t>
      </w:r>
      <w:r w:rsidR="00EE4B7F" w:rsidRPr="005D1193">
        <w:rPr>
          <w:rFonts w:ascii="Times New Roman" w:hAnsi="Times New Roman"/>
          <w:sz w:val="24"/>
          <w:szCs w:val="24"/>
        </w:rPr>
        <w:t>щодо</w:t>
      </w:r>
      <w:r w:rsidR="00675CBB" w:rsidRPr="005D1193">
        <w:rPr>
          <w:rFonts w:ascii="Times New Roman" w:hAnsi="Times New Roman"/>
          <w:sz w:val="24"/>
          <w:szCs w:val="24"/>
        </w:rPr>
        <w:t xml:space="preserve"> цінни</w:t>
      </w:r>
      <w:r w:rsidR="00EE4B7F" w:rsidRPr="005D1193">
        <w:rPr>
          <w:rFonts w:ascii="Times New Roman" w:hAnsi="Times New Roman"/>
          <w:sz w:val="24"/>
          <w:szCs w:val="24"/>
        </w:rPr>
        <w:t xml:space="preserve">х </w:t>
      </w:r>
      <w:r w:rsidR="00675CBB" w:rsidRPr="005D1193">
        <w:rPr>
          <w:rFonts w:ascii="Times New Roman" w:hAnsi="Times New Roman"/>
          <w:sz w:val="24"/>
          <w:szCs w:val="24"/>
        </w:rPr>
        <w:t>папер</w:t>
      </w:r>
      <w:r w:rsidR="00EE4B7F" w:rsidRPr="005D1193">
        <w:rPr>
          <w:rFonts w:ascii="Times New Roman" w:hAnsi="Times New Roman"/>
          <w:sz w:val="24"/>
          <w:szCs w:val="24"/>
        </w:rPr>
        <w:t>ів</w:t>
      </w:r>
      <w:r w:rsidR="00675CBB" w:rsidRPr="005D1193">
        <w:rPr>
          <w:rFonts w:ascii="Times New Roman" w:hAnsi="Times New Roman"/>
          <w:sz w:val="24"/>
          <w:szCs w:val="24"/>
        </w:rPr>
        <w:t xml:space="preserve">, що гарантуються </w:t>
      </w:r>
      <w:r w:rsidR="00D31C89" w:rsidRPr="005D1193">
        <w:rPr>
          <w:rFonts w:ascii="Times New Roman" w:hAnsi="Times New Roman"/>
          <w:sz w:val="24"/>
          <w:szCs w:val="24"/>
        </w:rPr>
        <w:t>г</w:t>
      </w:r>
      <w:r w:rsidR="00675CBB" w:rsidRPr="005D1193">
        <w:rPr>
          <w:rFonts w:ascii="Times New Roman" w:hAnsi="Times New Roman"/>
          <w:sz w:val="24"/>
          <w:szCs w:val="24"/>
        </w:rPr>
        <w:t>арантійним забезпеченням</w:t>
      </w:r>
      <w:r w:rsidR="004F207A" w:rsidRPr="005D1193">
        <w:rPr>
          <w:rFonts w:ascii="Times New Roman" w:hAnsi="Times New Roman"/>
          <w:sz w:val="24"/>
          <w:szCs w:val="24"/>
        </w:rPr>
        <w:t>;</w:t>
      </w:r>
    </w:p>
    <w:p w14:paraId="34F24759" w14:textId="77F0B50A" w:rsidR="00675CBB" w:rsidRPr="005D1193" w:rsidRDefault="00320C9B" w:rsidP="000A39DA">
      <w:pPr>
        <w:pStyle w:val="a5"/>
        <w:shd w:val="clear" w:color="auto" w:fill="FFFFFF"/>
        <w:tabs>
          <w:tab w:val="left" w:pos="0"/>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6</w:t>
      </w:r>
      <w:r w:rsidR="004F207A" w:rsidRPr="005D1193">
        <w:rPr>
          <w:rFonts w:ascii="Times New Roman" w:hAnsi="Times New Roman"/>
          <w:sz w:val="24"/>
          <w:szCs w:val="24"/>
        </w:rPr>
        <w:t>.2.6. приймає на себе зобов</w:t>
      </w:r>
      <w:r w:rsidR="005F41FA" w:rsidRPr="005D1193">
        <w:rPr>
          <w:rFonts w:ascii="Times New Roman" w:hAnsi="Times New Roman"/>
          <w:sz w:val="24"/>
          <w:szCs w:val="24"/>
        </w:rPr>
        <w:t>’</w:t>
      </w:r>
      <w:r w:rsidR="004F207A" w:rsidRPr="005D1193">
        <w:rPr>
          <w:rFonts w:ascii="Times New Roman" w:hAnsi="Times New Roman"/>
          <w:sz w:val="24"/>
          <w:szCs w:val="24"/>
        </w:rPr>
        <w:t>язання щодо здійснення клірингу та розрахунків виключно в межах визначено</w:t>
      </w:r>
      <w:r w:rsidR="00EE4B7F" w:rsidRPr="005D1193">
        <w:rPr>
          <w:rFonts w:ascii="Times New Roman" w:hAnsi="Times New Roman"/>
          <w:sz w:val="24"/>
          <w:szCs w:val="24"/>
        </w:rPr>
        <w:t>го ним цінового коридору</w:t>
      </w:r>
      <w:r w:rsidR="00CA4C8F" w:rsidRPr="005D1193">
        <w:rPr>
          <w:rFonts w:ascii="Times New Roman" w:hAnsi="Times New Roman"/>
          <w:sz w:val="24"/>
          <w:szCs w:val="24"/>
        </w:rPr>
        <w:t>;</w:t>
      </w:r>
    </w:p>
    <w:p w14:paraId="4DA7E67E" w14:textId="7714C33D" w:rsidR="00E7373D" w:rsidRPr="005D1193" w:rsidRDefault="00320C9B" w:rsidP="000A39DA">
      <w:pPr>
        <w:pStyle w:val="a5"/>
        <w:shd w:val="clear" w:color="auto" w:fill="FFFFFF"/>
        <w:tabs>
          <w:tab w:val="left" w:pos="0"/>
          <w:tab w:val="left" w:pos="851"/>
          <w:tab w:val="left" w:pos="993"/>
        </w:tabs>
        <w:autoSpaceDE w:val="0"/>
        <w:autoSpaceDN w:val="0"/>
        <w:adjustRightInd w:val="0"/>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6</w:t>
      </w:r>
      <w:r w:rsidR="00675CBB" w:rsidRPr="005D1193">
        <w:rPr>
          <w:rFonts w:ascii="Times New Roman" w:hAnsi="Times New Roman"/>
          <w:sz w:val="24"/>
          <w:szCs w:val="24"/>
        </w:rPr>
        <w:t>.2.7. припиняє</w:t>
      </w:r>
      <w:r w:rsidR="007900C4" w:rsidRPr="005D1193">
        <w:rPr>
          <w:rFonts w:ascii="Times New Roman" w:hAnsi="Times New Roman"/>
          <w:sz w:val="24"/>
          <w:szCs w:val="24"/>
        </w:rPr>
        <w:t>,</w:t>
      </w:r>
      <w:r w:rsidR="00675CBB" w:rsidRPr="005D1193">
        <w:rPr>
          <w:rFonts w:ascii="Times New Roman" w:hAnsi="Times New Roman"/>
          <w:sz w:val="24"/>
          <w:szCs w:val="24"/>
        </w:rPr>
        <w:t xml:space="preserve"> в т</w:t>
      </w:r>
      <w:r w:rsidR="007900C4" w:rsidRPr="005D1193">
        <w:rPr>
          <w:rFonts w:ascii="Times New Roman" w:hAnsi="Times New Roman"/>
          <w:sz w:val="24"/>
          <w:szCs w:val="24"/>
        </w:rPr>
        <w:t>ому числі</w:t>
      </w:r>
      <w:r w:rsidR="00675CBB" w:rsidRPr="005D1193">
        <w:rPr>
          <w:rFonts w:ascii="Times New Roman" w:hAnsi="Times New Roman"/>
          <w:sz w:val="24"/>
          <w:szCs w:val="24"/>
        </w:rPr>
        <w:t xml:space="preserve"> примусово</w:t>
      </w:r>
      <w:r w:rsidR="00A07057" w:rsidRPr="005D1193">
        <w:rPr>
          <w:rFonts w:ascii="Times New Roman" w:hAnsi="Times New Roman"/>
          <w:sz w:val="24"/>
          <w:szCs w:val="24"/>
        </w:rPr>
        <w:t>,</w:t>
      </w:r>
      <w:r w:rsidR="00675CBB" w:rsidRPr="005D1193">
        <w:rPr>
          <w:rFonts w:ascii="Times New Roman" w:hAnsi="Times New Roman"/>
          <w:sz w:val="24"/>
          <w:szCs w:val="24"/>
        </w:rPr>
        <w:t xml:space="preserve"> зобов</w:t>
      </w:r>
      <w:r w:rsidR="005F41FA" w:rsidRPr="005D1193">
        <w:rPr>
          <w:rFonts w:ascii="Times New Roman" w:hAnsi="Times New Roman"/>
          <w:sz w:val="24"/>
          <w:szCs w:val="24"/>
        </w:rPr>
        <w:t>’</w:t>
      </w:r>
      <w:r w:rsidR="00675CBB" w:rsidRPr="005D1193">
        <w:rPr>
          <w:rFonts w:ascii="Times New Roman" w:hAnsi="Times New Roman"/>
          <w:sz w:val="24"/>
          <w:szCs w:val="24"/>
        </w:rPr>
        <w:t xml:space="preserve">язання учасників клірингу та/або Розрахункового центру у випадку </w:t>
      </w:r>
      <w:r w:rsidR="00402D39" w:rsidRPr="005D1193">
        <w:rPr>
          <w:rFonts w:ascii="Times New Roman" w:hAnsi="Times New Roman"/>
          <w:sz w:val="24"/>
          <w:szCs w:val="24"/>
        </w:rPr>
        <w:t>невиконання</w:t>
      </w:r>
      <w:r w:rsidR="00675CBB" w:rsidRPr="005D1193">
        <w:rPr>
          <w:rFonts w:ascii="Times New Roman" w:hAnsi="Times New Roman"/>
          <w:sz w:val="24"/>
          <w:szCs w:val="24"/>
        </w:rPr>
        <w:t xml:space="preserve"> учасником клірингу </w:t>
      </w:r>
      <w:r w:rsidR="009103BE" w:rsidRPr="005D1193">
        <w:rPr>
          <w:rFonts w:ascii="Times New Roman" w:hAnsi="Times New Roman"/>
          <w:sz w:val="24"/>
          <w:szCs w:val="24"/>
        </w:rPr>
        <w:t>маржинальної вимоги</w:t>
      </w:r>
      <w:r w:rsidR="009103BE" w:rsidRPr="005D1193">
        <w:rPr>
          <w:rFonts w:ascii="Times New Roman" w:eastAsia="TimesNewRoman" w:hAnsi="Times New Roman"/>
          <w:sz w:val="24"/>
          <w:szCs w:val="24"/>
          <w:lang w:eastAsia="ru-RU"/>
        </w:rPr>
        <w:t xml:space="preserve"> </w:t>
      </w:r>
      <w:r w:rsidR="00675CBB" w:rsidRPr="005D1193">
        <w:rPr>
          <w:rFonts w:ascii="Times New Roman" w:hAnsi="Times New Roman"/>
          <w:sz w:val="24"/>
          <w:szCs w:val="24"/>
        </w:rPr>
        <w:t>або невиконання зобов</w:t>
      </w:r>
      <w:r w:rsidR="005F41FA" w:rsidRPr="005D1193">
        <w:rPr>
          <w:rFonts w:ascii="Times New Roman" w:hAnsi="Times New Roman"/>
          <w:sz w:val="24"/>
          <w:szCs w:val="24"/>
        </w:rPr>
        <w:t>’</w:t>
      </w:r>
      <w:r w:rsidR="00675CBB" w:rsidRPr="005D1193">
        <w:rPr>
          <w:rFonts w:ascii="Times New Roman" w:hAnsi="Times New Roman"/>
          <w:sz w:val="24"/>
          <w:szCs w:val="24"/>
        </w:rPr>
        <w:t>язань з фактичної поставки</w:t>
      </w:r>
      <w:r w:rsidR="00A572BE" w:rsidRPr="005D1193">
        <w:rPr>
          <w:rFonts w:ascii="Times New Roman" w:hAnsi="Times New Roman"/>
          <w:sz w:val="24"/>
          <w:szCs w:val="24"/>
        </w:rPr>
        <w:t xml:space="preserve"> </w:t>
      </w:r>
      <w:r w:rsidR="00675CBB" w:rsidRPr="005D1193">
        <w:rPr>
          <w:rFonts w:ascii="Times New Roman" w:hAnsi="Times New Roman"/>
          <w:sz w:val="24"/>
          <w:szCs w:val="24"/>
        </w:rPr>
        <w:t>/</w:t>
      </w:r>
      <w:r w:rsidR="00A572BE" w:rsidRPr="005D1193">
        <w:rPr>
          <w:rFonts w:ascii="Times New Roman" w:hAnsi="Times New Roman"/>
          <w:sz w:val="24"/>
          <w:szCs w:val="24"/>
        </w:rPr>
        <w:t xml:space="preserve"> </w:t>
      </w:r>
      <w:r w:rsidR="00675CBB" w:rsidRPr="005D1193">
        <w:rPr>
          <w:rFonts w:ascii="Times New Roman" w:hAnsi="Times New Roman"/>
          <w:sz w:val="24"/>
          <w:szCs w:val="24"/>
        </w:rPr>
        <w:t xml:space="preserve">оплати цінних паперів у </w:t>
      </w:r>
      <w:r w:rsidR="00A572BE" w:rsidRPr="005D1193">
        <w:rPr>
          <w:rFonts w:ascii="Times New Roman" w:hAnsi="Times New Roman"/>
          <w:sz w:val="24"/>
          <w:szCs w:val="24"/>
        </w:rPr>
        <w:t>день</w:t>
      </w:r>
      <w:r w:rsidR="00675CBB" w:rsidRPr="005D1193">
        <w:rPr>
          <w:rFonts w:ascii="Times New Roman" w:hAnsi="Times New Roman"/>
          <w:sz w:val="24"/>
          <w:szCs w:val="24"/>
        </w:rPr>
        <w:t xml:space="preserve"> та час</w:t>
      </w:r>
      <w:r w:rsidR="00A572BE" w:rsidRPr="005D1193">
        <w:rPr>
          <w:rFonts w:ascii="Times New Roman" w:eastAsia="TimesNewRoman" w:hAnsi="Times New Roman"/>
          <w:sz w:val="24"/>
          <w:szCs w:val="24"/>
          <w:lang w:eastAsia="ru-RU"/>
        </w:rPr>
        <w:t xml:space="preserve"> проведення розрахунків</w:t>
      </w:r>
      <w:r w:rsidR="00083A95" w:rsidRPr="005D1193">
        <w:rPr>
          <w:rFonts w:ascii="Times New Roman" w:eastAsia="TimesNewRoman" w:hAnsi="Times New Roman"/>
          <w:sz w:val="24"/>
          <w:szCs w:val="24"/>
          <w:lang w:eastAsia="ru-RU"/>
        </w:rPr>
        <w:t xml:space="preserve"> або неплатоспроможності учасника клірингу</w:t>
      </w:r>
      <w:r w:rsidR="006A5CB3">
        <w:rPr>
          <w:rFonts w:ascii="Times New Roman" w:eastAsia="TimesNewRoman" w:hAnsi="Times New Roman"/>
          <w:sz w:val="24"/>
          <w:szCs w:val="24"/>
          <w:lang w:eastAsia="ru-RU"/>
        </w:rPr>
        <w:t xml:space="preserve"> / клієнта учасника клірингу</w:t>
      </w:r>
      <w:r w:rsidR="00675CBB" w:rsidRPr="005D1193">
        <w:rPr>
          <w:rFonts w:ascii="Times New Roman" w:hAnsi="Times New Roman"/>
          <w:sz w:val="24"/>
          <w:szCs w:val="24"/>
        </w:rPr>
        <w:t>;</w:t>
      </w:r>
    </w:p>
    <w:p w14:paraId="31121499" w14:textId="52A0DBFB" w:rsidR="00461444" w:rsidRPr="005D1193" w:rsidRDefault="00320C9B" w:rsidP="000A39DA">
      <w:pPr>
        <w:shd w:val="clear" w:color="auto" w:fill="FFFFFF"/>
        <w:tabs>
          <w:tab w:val="left" w:pos="0"/>
          <w:tab w:val="left" w:pos="851"/>
          <w:tab w:val="left" w:pos="993"/>
          <w:tab w:val="left" w:pos="1134"/>
        </w:tabs>
        <w:autoSpaceDE w:val="0"/>
        <w:autoSpaceDN w:val="0"/>
        <w:adjustRightInd w:val="0"/>
        <w:spacing w:after="120" w:line="240" w:lineRule="auto"/>
        <w:ind w:firstLine="709"/>
        <w:jc w:val="both"/>
        <w:rPr>
          <w:rFonts w:ascii="Times New Roman" w:eastAsia="TimesNewRoman" w:hAnsi="Times New Roman"/>
          <w:sz w:val="24"/>
          <w:szCs w:val="24"/>
          <w:lang w:eastAsia="ru-RU"/>
        </w:rPr>
      </w:pPr>
      <w:r w:rsidRPr="005D1193">
        <w:rPr>
          <w:rFonts w:ascii="Times New Roman" w:hAnsi="Times New Roman"/>
          <w:sz w:val="24"/>
          <w:szCs w:val="24"/>
        </w:rPr>
        <w:t>6</w:t>
      </w:r>
      <w:r w:rsidR="007900C4" w:rsidRPr="005D1193">
        <w:rPr>
          <w:rFonts w:ascii="Times New Roman" w:hAnsi="Times New Roman"/>
          <w:sz w:val="24"/>
          <w:szCs w:val="24"/>
        </w:rPr>
        <w:t>.2.</w:t>
      </w:r>
      <w:r w:rsidR="00631338" w:rsidRPr="005D1193">
        <w:rPr>
          <w:rFonts w:ascii="Times New Roman" w:hAnsi="Times New Roman"/>
          <w:sz w:val="24"/>
          <w:szCs w:val="24"/>
        </w:rPr>
        <w:t>8</w:t>
      </w:r>
      <w:r w:rsidR="00882631" w:rsidRPr="005D1193">
        <w:rPr>
          <w:rFonts w:ascii="Times New Roman" w:hAnsi="Times New Roman"/>
          <w:sz w:val="24"/>
          <w:szCs w:val="24"/>
        </w:rPr>
        <w:t xml:space="preserve">. </w:t>
      </w:r>
      <w:r w:rsidR="00880123" w:rsidRPr="005D1193">
        <w:rPr>
          <w:rFonts w:ascii="Times New Roman" w:hAnsi="Times New Roman"/>
          <w:sz w:val="24"/>
          <w:szCs w:val="24"/>
        </w:rPr>
        <w:t>надає</w:t>
      </w:r>
      <w:r w:rsidR="009F0C04" w:rsidRPr="005D1193">
        <w:rPr>
          <w:rFonts w:ascii="Times New Roman" w:hAnsi="Times New Roman"/>
          <w:sz w:val="24"/>
          <w:szCs w:val="24"/>
        </w:rPr>
        <w:t xml:space="preserve"> учаснику клірингу</w:t>
      </w:r>
      <w:r w:rsidR="00880123" w:rsidRPr="005D1193">
        <w:rPr>
          <w:rFonts w:ascii="Times New Roman" w:hAnsi="Times New Roman"/>
          <w:sz w:val="24"/>
          <w:szCs w:val="24"/>
        </w:rPr>
        <w:t xml:space="preserve"> </w:t>
      </w:r>
      <w:r w:rsidR="009F0C04" w:rsidRPr="005D1193">
        <w:rPr>
          <w:rFonts w:ascii="Times New Roman" w:hAnsi="Times New Roman"/>
          <w:sz w:val="24"/>
          <w:szCs w:val="24"/>
        </w:rPr>
        <w:t>засобами системи дистанційного обслуговування клірингових рахунків</w:t>
      </w:r>
      <w:r w:rsidR="00BC656F" w:rsidRPr="005D1193">
        <w:rPr>
          <w:rFonts w:ascii="Times New Roman" w:hAnsi="Times New Roman"/>
          <w:sz w:val="24"/>
          <w:szCs w:val="24"/>
        </w:rPr>
        <w:t xml:space="preserve"> </w:t>
      </w:r>
      <w:r w:rsidR="009F0C04" w:rsidRPr="005D1193">
        <w:rPr>
          <w:rFonts w:ascii="Times New Roman" w:hAnsi="Times New Roman"/>
          <w:sz w:val="24"/>
          <w:szCs w:val="24"/>
        </w:rPr>
        <w:t>/</w:t>
      </w:r>
      <w:r w:rsidR="00BC656F" w:rsidRPr="005D1193">
        <w:rPr>
          <w:rFonts w:ascii="Times New Roman" w:hAnsi="Times New Roman"/>
          <w:sz w:val="24"/>
          <w:szCs w:val="24"/>
        </w:rPr>
        <w:t xml:space="preserve"> </w:t>
      </w:r>
      <w:r w:rsidR="009F0C04" w:rsidRPr="005D1193">
        <w:rPr>
          <w:rFonts w:ascii="Times New Roman" w:hAnsi="Times New Roman"/>
          <w:sz w:val="24"/>
          <w:szCs w:val="24"/>
        </w:rPr>
        <w:t>субрахунків</w:t>
      </w:r>
      <w:r w:rsidR="00F22FBF" w:rsidRPr="005D1193">
        <w:rPr>
          <w:rFonts w:ascii="Times New Roman" w:hAnsi="Times New Roman"/>
          <w:sz w:val="24"/>
          <w:szCs w:val="24"/>
        </w:rPr>
        <w:t xml:space="preserve"> </w:t>
      </w:r>
      <w:r w:rsidR="00286623" w:rsidRPr="005D1193">
        <w:rPr>
          <w:rFonts w:ascii="Times New Roman" w:hAnsi="Times New Roman"/>
          <w:sz w:val="24"/>
          <w:szCs w:val="24"/>
        </w:rPr>
        <w:t>відповідно до</w:t>
      </w:r>
      <w:r w:rsidR="009F0C04" w:rsidRPr="005D1193">
        <w:rPr>
          <w:rFonts w:ascii="Times New Roman" w:hAnsi="Times New Roman"/>
          <w:sz w:val="24"/>
          <w:szCs w:val="24"/>
        </w:rPr>
        <w:t xml:space="preserve"> </w:t>
      </w:r>
      <w:r w:rsidR="001F3835" w:rsidRPr="005D1193">
        <w:rPr>
          <w:rFonts w:ascii="Times New Roman" w:hAnsi="Times New Roman"/>
          <w:sz w:val="24"/>
          <w:szCs w:val="24"/>
        </w:rPr>
        <w:t xml:space="preserve">Правил клірингу публічного акціонерного товариства "Розрахунковий центр з обслуговування договорів на фінансових ринках", </w:t>
      </w:r>
      <w:r w:rsidR="009F0C04" w:rsidRPr="005D1193">
        <w:rPr>
          <w:rFonts w:ascii="Times New Roman" w:hAnsi="Times New Roman"/>
          <w:sz w:val="24"/>
          <w:szCs w:val="24"/>
        </w:rPr>
        <w:t>Регламент</w:t>
      </w:r>
      <w:r w:rsidR="00286623" w:rsidRPr="005D1193">
        <w:rPr>
          <w:rFonts w:ascii="Times New Roman" w:hAnsi="Times New Roman"/>
          <w:sz w:val="24"/>
          <w:szCs w:val="24"/>
        </w:rPr>
        <w:t>у</w:t>
      </w:r>
      <w:r w:rsidR="009F0C04" w:rsidRPr="005D1193">
        <w:rPr>
          <w:rFonts w:ascii="Times New Roman" w:hAnsi="Times New Roman"/>
          <w:sz w:val="24"/>
          <w:szCs w:val="24"/>
        </w:rPr>
        <w:t xml:space="preserve"> провадження клірингової діяльності та </w:t>
      </w:r>
      <w:r w:rsidR="00286623" w:rsidRPr="005D1193">
        <w:rPr>
          <w:rFonts w:ascii="Times New Roman" w:hAnsi="Times New Roman"/>
          <w:sz w:val="24"/>
          <w:szCs w:val="24"/>
        </w:rPr>
        <w:t>договорів, укладених</w:t>
      </w:r>
      <w:r w:rsidR="009F0C04" w:rsidRPr="005D1193">
        <w:rPr>
          <w:rFonts w:ascii="Times New Roman" w:hAnsi="Times New Roman"/>
          <w:sz w:val="24"/>
          <w:szCs w:val="24"/>
        </w:rPr>
        <w:t xml:space="preserve"> з учасником клірингу</w:t>
      </w:r>
      <w:r w:rsidR="00357934" w:rsidRPr="005D1193">
        <w:rPr>
          <w:rFonts w:ascii="Times New Roman" w:hAnsi="Times New Roman"/>
          <w:sz w:val="24"/>
          <w:szCs w:val="24"/>
        </w:rPr>
        <w:t>,</w:t>
      </w:r>
      <w:r w:rsidR="009F0C04" w:rsidRPr="005D1193">
        <w:rPr>
          <w:rFonts w:ascii="Times New Roman" w:hAnsi="Times New Roman"/>
          <w:sz w:val="24"/>
          <w:szCs w:val="24"/>
        </w:rPr>
        <w:t xml:space="preserve"> </w:t>
      </w:r>
      <w:r w:rsidR="00882631" w:rsidRPr="005D1193">
        <w:rPr>
          <w:rFonts w:ascii="Times New Roman" w:hAnsi="Times New Roman"/>
          <w:sz w:val="24"/>
          <w:szCs w:val="24"/>
        </w:rPr>
        <w:t>інформаці</w:t>
      </w:r>
      <w:r w:rsidR="00880123" w:rsidRPr="005D1193">
        <w:rPr>
          <w:rFonts w:ascii="Times New Roman" w:hAnsi="Times New Roman"/>
          <w:sz w:val="24"/>
          <w:szCs w:val="24"/>
        </w:rPr>
        <w:t>ю</w:t>
      </w:r>
      <w:r w:rsidR="00882631" w:rsidRPr="005D1193">
        <w:rPr>
          <w:rFonts w:ascii="Times New Roman" w:hAnsi="Times New Roman"/>
          <w:sz w:val="24"/>
          <w:szCs w:val="24"/>
        </w:rPr>
        <w:t xml:space="preserve"> щодо </w:t>
      </w:r>
      <w:r w:rsidR="001F3835" w:rsidRPr="005D1193">
        <w:rPr>
          <w:rFonts w:ascii="Times New Roman" w:hAnsi="Times New Roman"/>
          <w:sz w:val="24"/>
          <w:szCs w:val="24"/>
        </w:rPr>
        <w:t>поточних та майбутніх зобов</w:t>
      </w:r>
      <w:r w:rsidR="005F41FA" w:rsidRPr="005D1193">
        <w:rPr>
          <w:rFonts w:ascii="Times New Roman" w:hAnsi="Times New Roman"/>
          <w:sz w:val="24"/>
          <w:szCs w:val="24"/>
        </w:rPr>
        <w:t>’</w:t>
      </w:r>
      <w:r w:rsidR="001F3835" w:rsidRPr="005D1193">
        <w:rPr>
          <w:rFonts w:ascii="Times New Roman" w:hAnsi="Times New Roman"/>
          <w:sz w:val="24"/>
          <w:szCs w:val="24"/>
        </w:rPr>
        <w:t>язань учасника клірингу за правочинами щодо цінних паперів, що забезпечені гарантійним забезпеченням із зазначенням суми внесеного гарантійного забезпечення; складу гарантійного забезпечення учасника клірингу, оцінки гарантійного забезпечення та відповідної частини забезпечення, заблокованої під поточні та майбутні зобов</w:t>
      </w:r>
      <w:r w:rsidR="005F41FA" w:rsidRPr="005D1193">
        <w:rPr>
          <w:rFonts w:ascii="Times New Roman" w:hAnsi="Times New Roman"/>
          <w:sz w:val="24"/>
          <w:szCs w:val="24"/>
        </w:rPr>
        <w:t>’</w:t>
      </w:r>
      <w:r w:rsidR="001F3835" w:rsidRPr="005D1193">
        <w:rPr>
          <w:rFonts w:ascii="Times New Roman" w:hAnsi="Times New Roman"/>
          <w:sz w:val="24"/>
          <w:szCs w:val="24"/>
        </w:rPr>
        <w:t>язання за правочинами щодо цінних паперів; недостатності гарантійного забезпечення учасника клірингу та необхідності внести додаткове гарантійне забезпечення для забезпечення поточних та майбутніх зобов</w:t>
      </w:r>
      <w:r w:rsidR="005F41FA" w:rsidRPr="005D1193">
        <w:rPr>
          <w:rFonts w:ascii="Times New Roman" w:hAnsi="Times New Roman"/>
          <w:sz w:val="24"/>
          <w:szCs w:val="24"/>
        </w:rPr>
        <w:t>’</w:t>
      </w:r>
      <w:r w:rsidR="001F3835" w:rsidRPr="005D1193">
        <w:rPr>
          <w:rFonts w:ascii="Times New Roman" w:hAnsi="Times New Roman"/>
          <w:sz w:val="24"/>
          <w:szCs w:val="24"/>
        </w:rPr>
        <w:t xml:space="preserve">язань учасника клірингу </w:t>
      </w:r>
      <w:r w:rsidR="004F207A" w:rsidRPr="005D1193">
        <w:rPr>
          <w:rFonts w:ascii="Times New Roman" w:hAnsi="Times New Roman"/>
          <w:sz w:val="24"/>
          <w:szCs w:val="24"/>
        </w:rPr>
        <w:t>та інш</w:t>
      </w:r>
      <w:r w:rsidR="009F0C04" w:rsidRPr="005D1193">
        <w:rPr>
          <w:rFonts w:ascii="Times New Roman" w:hAnsi="Times New Roman"/>
          <w:sz w:val="24"/>
          <w:szCs w:val="24"/>
        </w:rPr>
        <w:t>у</w:t>
      </w:r>
      <w:r w:rsidR="004F207A" w:rsidRPr="005D1193">
        <w:rPr>
          <w:rFonts w:ascii="Times New Roman" w:hAnsi="Times New Roman"/>
          <w:sz w:val="24"/>
          <w:szCs w:val="24"/>
        </w:rPr>
        <w:t xml:space="preserve"> інформаці</w:t>
      </w:r>
      <w:r w:rsidR="009F0C04" w:rsidRPr="005D1193">
        <w:rPr>
          <w:rFonts w:ascii="Times New Roman" w:hAnsi="Times New Roman"/>
          <w:sz w:val="24"/>
          <w:szCs w:val="24"/>
        </w:rPr>
        <w:t>ю</w:t>
      </w:r>
      <w:r w:rsidR="004F207A" w:rsidRPr="005D1193">
        <w:rPr>
          <w:rFonts w:ascii="Times New Roman" w:hAnsi="Times New Roman"/>
          <w:sz w:val="24"/>
          <w:szCs w:val="24"/>
        </w:rPr>
        <w:t xml:space="preserve"> щодо </w:t>
      </w:r>
      <w:r w:rsidR="001F3835" w:rsidRPr="005D1193">
        <w:rPr>
          <w:rFonts w:ascii="Times New Roman" w:hAnsi="Times New Roman"/>
          <w:sz w:val="24"/>
          <w:szCs w:val="24"/>
        </w:rPr>
        <w:t xml:space="preserve">поточних та майбутніх </w:t>
      </w:r>
      <w:r w:rsidR="004F207A" w:rsidRPr="005D1193">
        <w:rPr>
          <w:rFonts w:ascii="Times New Roman" w:hAnsi="Times New Roman"/>
          <w:sz w:val="24"/>
          <w:szCs w:val="24"/>
        </w:rPr>
        <w:t>зобов</w:t>
      </w:r>
      <w:r w:rsidR="005F41FA" w:rsidRPr="005D1193">
        <w:rPr>
          <w:rFonts w:ascii="Times New Roman" w:hAnsi="Times New Roman"/>
          <w:sz w:val="24"/>
          <w:szCs w:val="24"/>
        </w:rPr>
        <w:t>’</w:t>
      </w:r>
      <w:r w:rsidR="004F207A" w:rsidRPr="005D1193">
        <w:rPr>
          <w:rFonts w:ascii="Times New Roman" w:hAnsi="Times New Roman"/>
          <w:sz w:val="24"/>
          <w:szCs w:val="24"/>
        </w:rPr>
        <w:t>язань учасника</w:t>
      </w:r>
      <w:r w:rsidR="00290493" w:rsidRPr="005D1193">
        <w:rPr>
          <w:rFonts w:ascii="Times New Roman" w:hAnsi="Times New Roman"/>
          <w:sz w:val="24"/>
          <w:szCs w:val="24"/>
        </w:rPr>
        <w:t xml:space="preserve"> клірингу</w:t>
      </w:r>
      <w:r w:rsidR="009F0C04" w:rsidRPr="005D1193">
        <w:rPr>
          <w:rFonts w:ascii="Times New Roman" w:hAnsi="Times New Roman"/>
          <w:sz w:val="24"/>
          <w:szCs w:val="24"/>
        </w:rPr>
        <w:t>.</w:t>
      </w:r>
      <w:r w:rsidR="00711B57" w:rsidRPr="005D1193">
        <w:rPr>
          <w:rFonts w:ascii="Times New Roman" w:hAnsi="Times New Roman"/>
          <w:sz w:val="24"/>
          <w:szCs w:val="24"/>
        </w:rPr>
        <w:t xml:space="preserve"> </w:t>
      </w:r>
      <w:r w:rsidR="009F0C04" w:rsidRPr="005D1193">
        <w:rPr>
          <w:rFonts w:ascii="Times New Roman" w:hAnsi="Times New Roman"/>
          <w:sz w:val="24"/>
          <w:szCs w:val="24"/>
        </w:rPr>
        <w:t>Надання</w:t>
      </w:r>
      <w:r w:rsidR="007900C4" w:rsidRPr="005D1193">
        <w:rPr>
          <w:rFonts w:ascii="Times New Roman" w:hAnsi="Times New Roman"/>
          <w:sz w:val="24"/>
          <w:szCs w:val="24"/>
        </w:rPr>
        <w:t xml:space="preserve"> </w:t>
      </w:r>
      <w:r w:rsidR="003F5334" w:rsidRPr="005D1193">
        <w:rPr>
          <w:rFonts w:ascii="Times New Roman" w:hAnsi="Times New Roman"/>
          <w:sz w:val="24"/>
          <w:szCs w:val="24"/>
        </w:rPr>
        <w:t xml:space="preserve">Розрахунковим центром </w:t>
      </w:r>
      <w:r w:rsidR="007900C4" w:rsidRPr="005D1193">
        <w:rPr>
          <w:rFonts w:ascii="Times New Roman" w:hAnsi="Times New Roman"/>
          <w:sz w:val="24"/>
          <w:szCs w:val="24"/>
        </w:rPr>
        <w:t xml:space="preserve">даної інформації </w:t>
      </w:r>
      <w:r w:rsidR="00B91882" w:rsidRPr="005D1193">
        <w:rPr>
          <w:rFonts w:ascii="Times New Roman" w:hAnsi="Times New Roman"/>
          <w:sz w:val="24"/>
          <w:szCs w:val="24"/>
        </w:rPr>
        <w:t>у спосіб</w:t>
      </w:r>
      <w:r w:rsidR="000B46A2" w:rsidRPr="005D1193">
        <w:rPr>
          <w:rFonts w:ascii="Times New Roman" w:hAnsi="Times New Roman"/>
          <w:sz w:val="24"/>
          <w:szCs w:val="24"/>
        </w:rPr>
        <w:t>,</w:t>
      </w:r>
      <w:r w:rsidR="00B91882" w:rsidRPr="005D1193">
        <w:rPr>
          <w:rFonts w:ascii="Times New Roman" w:hAnsi="Times New Roman"/>
          <w:sz w:val="24"/>
          <w:szCs w:val="24"/>
        </w:rPr>
        <w:t xml:space="preserve"> визначений цим пунктом</w:t>
      </w:r>
      <w:r w:rsidR="000B46A2" w:rsidRPr="005D1193">
        <w:rPr>
          <w:rFonts w:ascii="Times New Roman" w:hAnsi="Times New Roman"/>
          <w:sz w:val="24"/>
          <w:szCs w:val="24"/>
        </w:rPr>
        <w:t>,</w:t>
      </w:r>
      <w:r w:rsidR="00B91882" w:rsidRPr="005D1193">
        <w:rPr>
          <w:rFonts w:ascii="Times New Roman" w:hAnsi="Times New Roman"/>
          <w:sz w:val="24"/>
          <w:szCs w:val="24"/>
        </w:rPr>
        <w:t xml:space="preserve"> </w:t>
      </w:r>
      <w:r w:rsidR="009B0721" w:rsidRPr="005D1193">
        <w:rPr>
          <w:rFonts w:ascii="Times New Roman" w:hAnsi="Times New Roman"/>
          <w:sz w:val="24"/>
          <w:szCs w:val="24"/>
        </w:rPr>
        <w:t>є</w:t>
      </w:r>
      <w:r w:rsidR="007900C4" w:rsidRPr="005D1193">
        <w:rPr>
          <w:rFonts w:ascii="Times New Roman" w:hAnsi="Times New Roman"/>
          <w:sz w:val="24"/>
          <w:szCs w:val="24"/>
        </w:rPr>
        <w:t xml:space="preserve"> достатн</w:t>
      </w:r>
      <w:r w:rsidR="003F5334" w:rsidRPr="005D1193">
        <w:rPr>
          <w:rFonts w:ascii="Times New Roman" w:hAnsi="Times New Roman"/>
          <w:sz w:val="24"/>
          <w:szCs w:val="24"/>
        </w:rPr>
        <w:t>ім</w:t>
      </w:r>
      <w:r w:rsidR="007900C4" w:rsidRPr="005D1193">
        <w:rPr>
          <w:rFonts w:ascii="Times New Roman" w:hAnsi="Times New Roman"/>
          <w:sz w:val="24"/>
          <w:szCs w:val="24"/>
        </w:rPr>
        <w:t xml:space="preserve"> </w:t>
      </w:r>
      <w:r w:rsidR="00B91882" w:rsidRPr="005D1193">
        <w:rPr>
          <w:rFonts w:ascii="Times New Roman" w:hAnsi="Times New Roman"/>
          <w:sz w:val="24"/>
          <w:szCs w:val="24"/>
        </w:rPr>
        <w:t xml:space="preserve">та повним </w:t>
      </w:r>
      <w:r w:rsidR="007900C4" w:rsidRPr="005D1193">
        <w:rPr>
          <w:rFonts w:ascii="Times New Roman" w:hAnsi="Times New Roman"/>
          <w:sz w:val="24"/>
          <w:szCs w:val="24"/>
        </w:rPr>
        <w:t>для інформування учасника клірингу щодо терміну та обсягу його зобов</w:t>
      </w:r>
      <w:r w:rsidR="005F41FA" w:rsidRPr="005D1193">
        <w:rPr>
          <w:rFonts w:ascii="Times New Roman" w:hAnsi="Times New Roman"/>
          <w:sz w:val="24"/>
          <w:szCs w:val="24"/>
        </w:rPr>
        <w:t>’</w:t>
      </w:r>
      <w:r w:rsidR="007900C4" w:rsidRPr="005D1193">
        <w:rPr>
          <w:rFonts w:ascii="Times New Roman" w:hAnsi="Times New Roman"/>
          <w:sz w:val="24"/>
          <w:szCs w:val="24"/>
        </w:rPr>
        <w:t xml:space="preserve">язань. </w:t>
      </w:r>
      <w:r w:rsidR="009B0721" w:rsidRPr="005D1193">
        <w:rPr>
          <w:rFonts w:ascii="Times New Roman" w:eastAsia="TimesNewRoman" w:hAnsi="Times New Roman"/>
          <w:sz w:val="24"/>
          <w:szCs w:val="24"/>
          <w:lang w:eastAsia="ru-RU"/>
        </w:rPr>
        <w:t>Н</w:t>
      </w:r>
      <w:r w:rsidR="00B91882" w:rsidRPr="005D1193">
        <w:rPr>
          <w:rFonts w:ascii="Times New Roman" w:eastAsia="TimesNewRoman" w:hAnsi="Times New Roman"/>
          <w:sz w:val="24"/>
          <w:szCs w:val="24"/>
          <w:lang w:eastAsia="ru-RU"/>
        </w:rPr>
        <w:t xml:space="preserve">еотримання учасником клірингу інформації, вказаної в цьому пункті, </w:t>
      </w:r>
      <w:r w:rsidR="00B91882" w:rsidRPr="005D1193">
        <w:rPr>
          <w:rFonts w:ascii="Times New Roman" w:hAnsi="Times New Roman"/>
          <w:sz w:val="24"/>
          <w:szCs w:val="24"/>
        </w:rPr>
        <w:t>з незалежних від Розрахункового центру причин та/або не</w:t>
      </w:r>
      <w:r w:rsidR="009103BE" w:rsidRPr="005D1193">
        <w:rPr>
          <w:rFonts w:ascii="Times New Roman" w:hAnsi="Times New Roman"/>
          <w:sz w:val="24"/>
          <w:szCs w:val="24"/>
        </w:rPr>
        <w:t xml:space="preserve"> </w:t>
      </w:r>
      <w:r w:rsidR="00B91882" w:rsidRPr="005D1193">
        <w:rPr>
          <w:rFonts w:ascii="Times New Roman" w:hAnsi="Times New Roman"/>
          <w:sz w:val="24"/>
          <w:szCs w:val="24"/>
        </w:rPr>
        <w:t xml:space="preserve">ознайомлення </w:t>
      </w:r>
      <w:r w:rsidR="000B46A2" w:rsidRPr="005D1193">
        <w:rPr>
          <w:rFonts w:ascii="Times New Roman" w:hAnsi="Times New Roman"/>
          <w:sz w:val="24"/>
          <w:szCs w:val="24"/>
        </w:rPr>
        <w:t>учасника клірингу</w:t>
      </w:r>
      <w:r w:rsidR="009B0721" w:rsidRPr="005D1193">
        <w:rPr>
          <w:rFonts w:ascii="Times New Roman" w:hAnsi="Times New Roman"/>
          <w:sz w:val="24"/>
          <w:szCs w:val="24"/>
        </w:rPr>
        <w:t xml:space="preserve"> з </w:t>
      </w:r>
      <w:r w:rsidR="00B91882" w:rsidRPr="005D1193">
        <w:rPr>
          <w:rFonts w:ascii="Times New Roman" w:hAnsi="Times New Roman"/>
          <w:sz w:val="24"/>
          <w:szCs w:val="24"/>
        </w:rPr>
        <w:t>інформацією</w:t>
      </w:r>
      <w:r w:rsidR="009B0721" w:rsidRPr="005D1193">
        <w:rPr>
          <w:rFonts w:ascii="Times New Roman" w:hAnsi="Times New Roman"/>
          <w:sz w:val="24"/>
          <w:szCs w:val="24"/>
        </w:rPr>
        <w:t>, наданою Розрахунковим центром відповідно до цього пункту,</w:t>
      </w:r>
      <w:r w:rsidR="00B91882" w:rsidRPr="005D1193">
        <w:rPr>
          <w:rFonts w:ascii="Times New Roman" w:hAnsi="Times New Roman"/>
          <w:sz w:val="24"/>
          <w:szCs w:val="24"/>
        </w:rPr>
        <w:t xml:space="preserve"> не може вважатися ненаданням або неповним наданням інформації учаснику клірингу щодо його зобов</w:t>
      </w:r>
      <w:r w:rsidR="005F41FA" w:rsidRPr="005D1193">
        <w:rPr>
          <w:rFonts w:ascii="Times New Roman" w:hAnsi="Times New Roman"/>
          <w:sz w:val="24"/>
          <w:szCs w:val="24"/>
        </w:rPr>
        <w:t>’</w:t>
      </w:r>
      <w:r w:rsidR="00B91882" w:rsidRPr="005D1193">
        <w:rPr>
          <w:rFonts w:ascii="Times New Roman" w:hAnsi="Times New Roman"/>
          <w:sz w:val="24"/>
          <w:szCs w:val="24"/>
        </w:rPr>
        <w:t xml:space="preserve">язань, та відповідно не є підставою для </w:t>
      </w:r>
      <w:r w:rsidR="000B46A2" w:rsidRPr="005D1193">
        <w:rPr>
          <w:rFonts w:ascii="Times New Roman" w:hAnsi="Times New Roman"/>
          <w:sz w:val="24"/>
          <w:szCs w:val="24"/>
        </w:rPr>
        <w:t xml:space="preserve">невиконання </w:t>
      </w:r>
      <w:r w:rsidR="00B91882" w:rsidRPr="005D1193">
        <w:rPr>
          <w:rFonts w:ascii="Times New Roman" w:hAnsi="Times New Roman"/>
          <w:sz w:val="24"/>
          <w:szCs w:val="24"/>
        </w:rPr>
        <w:t>учасник</w:t>
      </w:r>
      <w:r w:rsidR="000B46A2" w:rsidRPr="005D1193">
        <w:rPr>
          <w:rFonts w:ascii="Times New Roman" w:hAnsi="Times New Roman"/>
          <w:sz w:val="24"/>
          <w:szCs w:val="24"/>
        </w:rPr>
        <w:t>ом</w:t>
      </w:r>
      <w:r w:rsidR="00B91882" w:rsidRPr="005D1193">
        <w:rPr>
          <w:rFonts w:ascii="Times New Roman" w:hAnsi="Times New Roman"/>
          <w:sz w:val="24"/>
          <w:szCs w:val="24"/>
        </w:rPr>
        <w:t xml:space="preserve"> клірингу зобов</w:t>
      </w:r>
      <w:r w:rsidR="005F41FA" w:rsidRPr="005D1193">
        <w:rPr>
          <w:rFonts w:ascii="Times New Roman" w:hAnsi="Times New Roman"/>
          <w:sz w:val="24"/>
          <w:szCs w:val="24"/>
        </w:rPr>
        <w:t>’</w:t>
      </w:r>
      <w:r w:rsidR="00B91882" w:rsidRPr="005D1193">
        <w:rPr>
          <w:rFonts w:ascii="Times New Roman" w:hAnsi="Times New Roman"/>
          <w:sz w:val="24"/>
          <w:szCs w:val="24"/>
        </w:rPr>
        <w:t>язань</w:t>
      </w:r>
      <w:r w:rsidR="00245339" w:rsidRPr="005D1193">
        <w:rPr>
          <w:rFonts w:ascii="Times New Roman" w:hAnsi="Times New Roman"/>
          <w:sz w:val="24"/>
          <w:szCs w:val="24"/>
        </w:rPr>
        <w:t>;</w:t>
      </w:r>
    </w:p>
    <w:p w14:paraId="1DAD0B80" w14:textId="7BDE243C" w:rsidR="00461444" w:rsidRPr="005D1193" w:rsidRDefault="00320C9B" w:rsidP="000A39DA">
      <w:pPr>
        <w:tabs>
          <w:tab w:val="left" w:pos="993"/>
        </w:tabs>
        <w:autoSpaceDE w:val="0"/>
        <w:autoSpaceDN w:val="0"/>
        <w:adjustRightInd w:val="0"/>
        <w:spacing w:after="120" w:line="240" w:lineRule="auto"/>
        <w:ind w:firstLine="709"/>
        <w:jc w:val="both"/>
        <w:rPr>
          <w:rFonts w:ascii="Times New Roman" w:hAnsi="Times New Roman"/>
          <w:sz w:val="24"/>
          <w:szCs w:val="24"/>
        </w:rPr>
      </w:pPr>
      <w:r w:rsidRPr="005D1193">
        <w:rPr>
          <w:rFonts w:ascii="Times New Roman" w:eastAsia="TimesNewRoman" w:hAnsi="Times New Roman"/>
          <w:sz w:val="24"/>
          <w:szCs w:val="24"/>
          <w:lang w:eastAsia="ru-RU"/>
        </w:rPr>
        <w:t>6</w:t>
      </w:r>
      <w:r w:rsidR="00CA0463" w:rsidRPr="005D1193">
        <w:rPr>
          <w:rFonts w:ascii="Times New Roman" w:eastAsia="TimesNewRoman" w:hAnsi="Times New Roman"/>
          <w:sz w:val="24"/>
          <w:szCs w:val="24"/>
          <w:lang w:eastAsia="ru-RU"/>
        </w:rPr>
        <w:t>.</w:t>
      </w:r>
      <w:r w:rsidR="00E0788A" w:rsidRPr="005D1193">
        <w:rPr>
          <w:rFonts w:ascii="Times New Roman" w:eastAsia="TimesNewRoman" w:hAnsi="Times New Roman"/>
          <w:sz w:val="24"/>
          <w:szCs w:val="24"/>
          <w:lang w:eastAsia="ru-RU"/>
        </w:rPr>
        <w:t>2.</w:t>
      </w:r>
      <w:r w:rsidR="00631338" w:rsidRPr="005D1193">
        <w:rPr>
          <w:rFonts w:ascii="Times New Roman" w:eastAsia="TimesNewRoman" w:hAnsi="Times New Roman"/>
          <w:sz w:val="24"/>
          <w:szCs w:val="24"/>
          <w:lang w:eastAsia="ru-RU"/>
        </w:rPr>
        <w:t>9</w:t>
      </w:r>
      <w:r w:rsidR="00E0788A" w:rsidRPr="005D1193">
        <w:rPr>
          <w:rFonts w:ascii="Times New Roman" w:eastAsia="TimesNewRoman" w:hAnsi="Times New Roman"/>
          <w:sz w:val="24"/>
          <w:szCs w:val="24"/>
          <w:lang w:eastAsia="ru-RU"/>
        </w:rPr>
        <w:t xml:space="preserve">. підтримує </w:t>
      </w:r>
      <w:r w:rsidR="00887DC8" w:rsidRPr="005D1193">
        <w:rPr>
          <w:rFonts w:ascii="Times New Roman" w:eastAsia="TimesNewRoman" w:hAnsi="Times New Roman"/>
          <w:sz w:val="24"/>
          <w:szCs w:val="24"/>
          <w:lang w:eastAsia="ru-RU"/>
        </w:rPr>
        <w:t xml:space="preserve">достатній обсяг високоліквідних активів (кошти </w:t>
      </w:r>
      <w:r w:rsidR="00E0788A" w:rsidRPr="005D1193">
        <w:rPr>
          <w:rFonts w:ascii="Times New Roman" w:eastAsia="TimesNewRoman" w:hAnsi="Times New Roman"/>
          <w:sz w:val="24"/>
          <w:szCs w:val="24"/>
          <w:lang w:eastAsia="ru-RU"/>
        </w:rPr>
        <w:t>на кореспондентському рахунку в</w:t>
      </w:r>
      <w:r w:rsidR="00D05A2D" w:rsidRPr="005D1193">
        <w:rPr>
          <w:rFonts w:ascii="Times New Roman" w:eastAsia="TimesNewRoman" w:hAnsi="Times New Roman"/>
          <w:sz w:val="24"/>
          <w:szCs w:val="24"/>
          <w:lang w:eastAsia="ru-RU"/>
        </w:rPr>
        <w:t xml:space="preserve"> НБУ</w:t>
      </w:r>
      <w:r w:rsidR="00887DC8" w:rsidRPr="005D1193">
        <w:rPr>
          <w:rFonts w:ascii="Times New Roman" w:eastAsia="TimesNewRoman" w:hAnsi="Times New Roman"/>
          <w:sz w:val="24"/>
          <w:szCs w:val="24"/>
          <w:lang w:eastAsia="ru-RU"/>
        </w:rPr>
        <w:t>, депозитні сертифікати</w:t>
      </w:r>
      <w:r w:rsidR="00D05A2D" w:rsidRPr="005D1193">
        <w:rPr>
          <w:rFonts w:ascii="Times New Roman" w:eastAsia="TimesNewRoman" w:hAnsi="Times New Roman"/>
          <w:sz w:val="24"/>
          <w:szCs w:val="24"/>
          <w:lang w:eastAsia="ru-RU"/>
        </w:rPr>
        <w:t xml:space="preserve"> НБУ</w:t>
      </w:r>
      <w:r w:rsidR="00887DC8" w:rsidRPr="005D1193">
        <w:rPr>
          <w:rFonts w:ascii="Times New Roman" w:eastAsia="TimesNewRoman" w:hAnsi="Times New Roman"/>
          <w:sz w:val="24"/>
          <w:szCs w:val="24"/>
          <w:lang w:eastAsia="ru-RU"/>
        </w:rPr>
        <w:t>, а також ОВДП)</w:t>
      </w:r>
      <w:r w:rsidR="00E0788A" w:rsidRPr="005D1193">
        <w:rPr>
          <w:rFonts w:ascii="Times New Roman" w:eastAsia="TimesNewRoman" w:hAnsi="Times New Roman"/>
          <w:sz w:val="24"/>
          <w:szCs w:val="24"/>
          <w:lang w:eastAsia="ru-RU"/>
        </w:rPr>
        <w:t xml:space="preserve">, </w:t>
      </w:r>
      <w:r w:rsidR="00887DC8" w:rsidRPr="005D1193">
        <w:rPr>
          <w:rFonts w:ascii="Times New Roman" w:eastAsia="TimesNewRoman" w:hAnsi="Times New Roman"/>
          <w:sz w:val="24"/>
          <w:szCs w:val="24"/>
          <w:lang w:eastAsia="ru-RU"/>
        </w:rPr>
        <w:t xml:space="preserve">який </w:t>
      </w:r>
      <w:r w:rsidR="00E0788A" w:rsidRPr="005D1193">
        <w:rPr>
          <w:rFonts w:ascii="Times New Roman" w:eastAsia="TimesNewRoman" w:hAnsi="Times New Roman"/>
          <w:sz w:val="24"/>
          <w:szCs w:val="24"/>
          <w:lang w:eastAsia="ru-RU"/>
        </w:rPr>
        <w:t>дозволяє забезпечити проведення поточних розрахунків з урахуванням нормативів обов</w:t>
      </w:r>
      <w:r w:rsidR="005F41FA" w:rsidRPr="005D1193">
        <w:rPr>
          <w:rFonts w:ascii="Times New Roman" w:eastAsia="TimesNewRoman" w:hAnsi="Times New Roman"/>
          <w:sz w:val="24"/>
          <w:szCs w:val="24"/>
          <w:lang w:eastAsia="ru-RU"/>
        </w:rPr>
        <w:t>’</w:t>
      </w:r>
      <w:r w:rsidR="00E0788A" w:rsidRPr="005D1193">
        <w:rPr>
          <w:rFonts w:ascii="Times New Roman" w:eastAsia="TimesNewRoman" w:hAnsi="Times New Roman"/>
          <w:sz w:val="24"/>
          <w:szCs w:val="24"/>
          <w:lang w:eastAsia="ru-RU"/>
        </w:rPr>
        <w:t xml:space="preserve">язкового резервування коштів на кореспондентському рахунку відповідно до </w:t>
      </w:r>
      <w:r w:rsidR="003B56D3" w:rsidRPr="005D1193">
        <w:rPr>
          <w:rFonts w:ascii="Times New Roman" w:eastAsia="TimesNewRoman" w:hAnsi="Times New Roman"/>
          <w:sz w:val="24"/>
          <w:szCs w:val="24"/>
          <w:lang w:eastAsia="ru-RU"/>
        </w:rPr>
        <w:t>нормативно-правових актів</w:t>
      </w:r>
      <w:r w:rsidR="00D05A2D" w:rsidRPr="005D1193">
        <w:rPr>
          <w:rFonts w:ascii="Times New Roman" w:eastAsia="TimesNewRoman" w:hAnsi="Times New Roman"/>
          <w:sz w:val="24"/>
          <w:szCs w:val="24"/>
          <w:lang w:eastAsia="ru-RU"/>
        </w:rPr>
        <w:t xml:space="preserve"> НБУ</w:t>
      </w:r>
      <w:r w:rsidR="00E0788A" w:rsidRPr="005D1193">
        <w:rPr>
          <w:rFonts w:ascii="Times New Roman" w:eastAsia="TimesNewRoman" w:hAnsi="Times New Roman"/>
          <w:sz w:val="24"/>
          <w:szCs w:val="24"/>
          <w:lang w:eastAsia="ru-RU"/>
        </w:rPr>
        <w:t xml:space="preserve">. </w:t>
      </w:r>
    </w:p>
    <w:p w14:paraId="18CB24EA" w14:textId="32617A71" w:rsidR="00461444" w:rsidRPr="005D1193" w:rsidRDefault="00320C9B" w:rsidP="000A39DA">
      <w:pPr>
        <w:pStyle w:val="a5"/>
        <w:tabs>
          <w:tab w:val="left" w:pos="0"/>
          <w:tab w:val="left" w:pos="993"/>
        </w:tabs>
        <w:autoSpaceDE w:val="0"/>
        <w:autoSpaceDN w:val="0"/>
        <w:adjustRightInd w:val="0"/>
        <w:spacing w:after="120" w:line="240" w:lineRule="auto"/>
        <w:ind w:left="0" w:firstLine="709"/>
        <w:contextualSpacing w:val="0"/>
        <w:jc w:val="both"/>
        <w:rPr>
          <w:rFonts w:ascii="Times New Roman" w:eastAsia="TimesNewRoman" w:hAnsi="Times New Roman"/>
          <w:sz w:val="24"/>
          <w:szCs w:val="24"/>
          <w:lang w:eastAsia="ru-RU"/>
        </w:rPr>
      </w:pPr>
      <w:r w:rsidRPr="005D1193">
        <w:rPr>
          <w:rFonts w:ascii="Times New Roman" w:eastAsia="TimesNewRoman" w:hAnsi="Times New Roman"/>
          <w:sz w:val="24"/>
          <w:szCs w:val="24"/>
          <w:lang w:eastAsia="ru-RU"/>
        </w:rPr>
        <w:t>6</w:t>
      </w:r>
      <w:r w:rsidR="00DB4340" w:rsidRPr="005D1193">
        <w:rPr>
          <w:rFonts w:ascii="Times New Roman" w:eastAsia="TimesNewRoman" w:hAnsi="Times New Roman"/>
          <w:sz w:val="24"/>
          <w:szCs w:val="24"/>
          <w:lang w:eastAsia="ru-RU"/>
        </w:rPr>
        <w:t>.</w:t>
      </w:r>
      <w:r w:rsidR="00234F91" w:rsidRPr="005D1193">
        <w:rPr>
          <w:rFonts w:ascii="Times New Roman" w:eastAsia="TimesNewRoman" w:hAnsi="Times New Roman"/>
          <w:sz w:val="24"/>
          <w:szCs w:val="24"/>
          <w:lang w:eastAsia="ru-RU"/>
        </w:rPr>
        <w:t>3</w:t>
      </w:r>
      <w:r w:rsidR="00DB4340" w:rsidRPr="005D1193">
        <w:rPr>
          <w:rFonts w:ascii="Times New Roman" w:eastAsia="TimesNewRoman" w:hAnsi="Times New Roman"/>
          <w:sz w:val="24"/>
          <w:szCs w:val="24"/>
          <w:lang w:eastAsia="ru-RU"/>
        </w:rPr>
        <w:t>.</w:t>
      </w:r>
      <w:r w:rsidR="00461444" w:rsidRPr="005D1193">
        <w:rPr>
          <w:rFonts w:ascii="Times New Roman" w:eastAsia="TimesNewRoman" w:hAnsi="Times New Roman"/>
          <w:sz w:val="24"/>
          <w:szCs w:val="24"/>
          <w:lang w:eastAsia="ru-RU"/>
        </w:rPr>
        <w:t xml:space="preserve"> Основними заходами щодо зниження </w:t>
      </w:r>
      <w:r w:rsidR="009E1BBE" w:rsidRPr="005D1193">
        <w:rPr>
          <w:rFonts w:ascii="Times New Roman" w:eastAsia="TimesNewRoman" w:hAnsi="Times New Roman"/>
          <w:sz w:val="24"/>
          <w:szCs w:val="24"/>
          <w:lang w:eastAsia="ru-RU"/>
        </w:rPr>
        <w:t>операційних</w:t>
      </w:r>
      <w:r w:rsidR="00C91E9C" w:rsidRPr="005D1193">
        <w:rPr>
          <w:rFonts w:ascii="Times New Roman" w:eastAsia="TimesNewRoman" w:hAnsi="Times New Roman"/>
          <w:sz w:val="24"/>
          <w:szCs w:val="24"/>
          <w:lang w:eastAsia="ru-RU"/>
        </w:rPr>
        <w:t xml:space="preserve"> </w:t>
      </w:r>
      <w:r w:rsidR="00461444" w:rsidRPr="005D1193">
        <w:rPr>
          <w:rFonts w:ascii="Times New Roman" w:eastAsia="TimesNewRoman" w:hAnsi="Times New Roman"/>
          <w:sz w:val="24"/>
          <w:szCs w:val="24"/>
          <w:lang w:eastAsia="ru-RU"/>
        </w:rPr>
        <w:t>ризиків в частині забезпечення надійного функціонування програмно-технічних засобів та їх відповідності вирішувати покладені на них задачі, є:</w:t>
      </w:r>
    </w:p>
    <w:p w14:paraId="4453ED50" w14:textId="29B0301E"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eastAsia="Times New Roman" w:hAnsi="Times New Roman"/>
          <w:sz w:val="24"/>
          <w:szCs w:val="24"/>
          <w:lang w:eastAsia="ru-RU"/>
        </w:rPr>
        <w:t xml:space="preserve">використання систем ідентифікації та аутентифікованого доступу до </w:t>
      </w:r>
      <w:r w:rsidRPr="005D1193">
        <w:rPr>
          <w:rFonts w:ascii="Times New Roman" w:hAnsi="Times New Roman"/>
          <w:sz w:val="24"/>
          <w:szCs w:val="24"/>
        </w:rPr>
        <w:t>серверів, баз даних, програмного забезпечення, засобів зв</w:t>
      </w:r>
      <w:r w:rsidR="005F41FA" w:rsidRPr="005D1193">
        <w:rPr>
          <w:rFonts w:ascii="Times New Roman" w:hAnsi="Times New Roman"/>
          <w:sz w:val="24"/>
          <w:szCs w:val="24"/>
        </w:rPr>
        <w:t>’</w:t>
      </w:r>
      <w:r w:rsidRPr="005D1193">
        <w:rPr>
          <w:rFonts w:ascii="Times New Roman" w:hAnsi="Times New Roman"/>
          <w:sz w:val="24"/>
          <w:szCs w:val="24"/>
        </w:rPr>
        <w:t>язку та передачі інформації;</w:t>
      </w:r>
    </w:p>
    <w:p w14:paraId="62C3FAC4" w14:textId="6732C597"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використання систем захисту інформації від несанкціонованого доступу та комп</w:t>
      </w:r>
      <w:r w:rsidR="005F41FA" w:rsidRPr="005D1193">
        <w:rPr>
          <w:rFonts w:ascii="Times New Roman" w:hAnsi="Times New Roman"/>
          <w:sz w:val="24"/>
          <w:szCs w:val="24"/>
        </w:rPr>
        <w:t>’</w:t>
      </w:r>
      <w:r w:rsidRPr="005D1193">
        <w:rPr>
          <w:rFonts w:ascii="Times New Roman" w:hAnsi="Times New Roman"/>
          <w:sz w:val="24"/>
          <w:szCs w:val="24"/>
        </w:rPr>
        <w:t>ютерних вірусів;</w:t>
      </w:r>
    </w:p>
    <w:p w14:paraId="13780FD7" w14:textId="77777777"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створення системи резервування та дублювання й відновлення баз даних, функціонування прикладних програм тощо;</w:t>
      </w:r>
    </w:p>
    <w:p w14:paraId="00046E65" w14:textId="77777777"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організація належного зберігання інформації в електронних архівах;</w:t>
      </w:r>
    </w:p>
    <w:p w14:paraId="450BD083" w14:textId="35DF9191"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забезпечення резервними каналами та потужн</w:t>
      </w:r>
      <w:r w:rsidR="003C16AA" w:rsidRPr="005D1193">
        <w:rPr>
          <w:rFonts w:ascii="Times New Roman" w:hAnsi="Times New Roman"/>
          <w:sz w:val="24"/>
          <w:szCs w:val="24"/>
        </w:rPr>
        <w:t>о</w:t>
      </w:r>
      <w:r w:rsidRPr="005D1193">
        <w:rPr>
          <w:rFonts w:ascii="Times New Roman" w:hAnsi="Times New Roman"/>
          <w:sz w:val="24"/>
          <w:szCs w:val="24"/>
        </w:rPr>
        <w:t>стями на випадок виникнення нештатних (аварійних) ситуацій;</w:t>
      </w:r>
    </w:p>
    <w:p w14:paraId="714B17CA" w14:textId="77777777"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надійність та здатність до швидкого відновлення робочого процесу у випадку виникнення технічних збоїв та надзвичайних ситуацій;</w:t>
      </w:r>
    </w:p>
    <w:p w14:paraId="68DCA527" w14:textId="77777777"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hAnsi="Times New Roman"/>
          <w:sz w:val="24"/>
          <w:szCs w:val="24"/>
        </w:rPr>
        <w:t>удосконалення</w:t>
      </w:r>
      <w:r w:rsidRPr="005D1193">
        <w:rPr>
          <w:rFonts w:ascii="Times New Roman" w:eastAsia="Times New Roman" w:hAnsi="Times New Roman"/>
          <w:sz w:val="24"/>
          <w:szCs w:val="24"/>
          <w:lang w:eastAsia="ru-RU"/>
        </w:rPr>
        <w:t xml:space="preserve"> технологій та програмно-технічних засобів</w:t>
      </w:r>
      <w:r w:rsidR="00803A02" w:rsidRPr="005D1193">
        <w:rPr>
          <w:rFonts w:ascii="Times New Roman" w:eastAsia="Times New Roman" w:hAnsi="Times New Roman"/>
          <w:sz w:val="24"/>
          <w:szCs w:val="24"/>
          <w:lang w:eastAsia="ru-RU"/>
        </w:rPr>
        <w:t>.</w:t>
      </w:r>
    </w:p>
    <w:p w14:paraId="73B8C446" w14:textId="659D5ED1" w:rsidR="00461444" w:rsidRPr="005D1193" w:rsidRDefault="00320C9B" w:rsidP="000A39DA">
      <w:pPr>
        <w:pStyle w:val="a5"/>
        <w:tabs>
          <w:tab w:val="left" w:pos="0"/>
          <w:tab w:val="left" w:pos="993"/>
        </w:tabs>
        <w:autoSpaceDE w:val="0"/>
        <w:autoSpaceDN w:val="0"/>
        <w:adjustRightInd w:val="0"/>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lastRenderedPageBreak/>
        <w:t>6</w:t>
      </w:r>
      <w:r w:rsidR="00AB2D27" w:rsidRPr="005D1193">
        <w:rPr>
          <w:rFonts w:ascii="Times New Roman" w:eastAsia="Times New Roman" w:hAnsi="Times New Roman"/>
          <w:sz w:val="24"/>
          <w:szCs w:val="24"/>
          <w:lang w:eastAsia="ru-RU"/>
        </w:rPr>
        <w:t>.</w:t>
      </w:r>
      <w:r w:rsidR="00234F91" w:rsidRPr="005D1193">
        <w:rPr>
          <w:rFonts w:ascii="Times New Roman" w:eastAsia="Times New Roman" w:hAnsi="Times New Roman"/>
          <w:sz w:val="24"/>
          <w:szCs w:val="24"/>
          <w:lang w:eastAsia="ru-RU"/>
        </w:rPr>
        <w:t>4</w:t>
      </w:r>
      <w:r w:rsidR="00461444" w:rsidRPr="005D1193">
        <w:rPr>
          <w:rFonts w:ascii="Times New Roman" w:eastAsia="Times New Roman" w:hAnsi="Times New Roman"/>
          <w:sz w:val="24"/>
          <w:szCs w:val="24"/>
          <w:lang w:eastAsia="ru-RU"/>
        </w:rPr>
        <w:t xml:space="preserve">. Основними заходами щодо мінімізації </w:t>
      </w:r>
      <w:r w:rsidR="00835DB2" w:rsidRPr="005D1193">
        <w:rPr>
          <w:rFonts w:ascii="Times New Roman" w:eastAsia="Times New Roman" w:hAnsi="Times New Roman"/>
          <w:sz w:val="24"/>
          <w:szCs w:val="24"/>
          <w:lang w:eastAsia="ru-RU"/>
        </w:rPr>
        <w:t>операційних</w:t>
      </w:r>
      <w:r w:rsidR="00461444" w:rsidRPr="005D1193">
        <w:rPr>
          <w:rFonts w:ascii="Times New Roman" w:eastAsia="Times New Roman" w:hAnsi="Times New Roman"/>
          <w:sz w:val="24"/>
          <w:szCs w:val="24"/>
          <w:lang w:eastAsia="ru-RU"/>
        </w:rPr>
        <w:t xml:space="preserve"> ризиків з точки зору бізнес-процесів є:</w:t>
      </w:r>
    </w:p>
    <w:p w14:paraId="124E9BFB" w14:textId="77777777"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формалізація бізнес-процесів, чіткі регламенти, інструкції проведення операцій;</w:t>
      </w:r>
    </w:p>
    <w:p w14:paraId="6CC2AB0C" w14:textId="5FDDC63D"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підвищення автоматизації процедур обробки та аналізу інформації, операцій по поточних</w:t>
      </w:r>
      <w:r w:rsidR="00BC656F" w:rsidRPr="005D1193">
        <w:rPr>
          <w:rFonts w:ascii="Times New Roman" w:hAnsi="Times New Roman"/>
          <w:sz w:val="24"/>
          <w:szCs w:val="24"/>
        </w:rPr>
        <w:t xml:space="preserve"> </w:t>
      </w:r>
      <w:r w:rsidR="00803A02" w:rsidRPr="005D1193">
        <w:rPr>
          <w:rFonts w:ascii="Times New Roman" w:hAnsi="Times New Roman"/>
          <w:sz w:val="24"/>
          <w:szCs w:val="24"/>
        </w:rPr>
        <w:t>/</w:t>
      </w:r>
      <w:r w:rsidR="00BC656F" w:rsidRPr="005D1193">
        <w:rPr>
          <w:rFonts w:ascii="Times New Roman" w:hAnsi="Times New Roman"/>
          <w:sz w:val="24"/>
          <w:szCs w:val="24"/>
        </w:rPr>
        <w:t xml:space="preserve"> </w:t>
      </w:r>
      <w:r w:rsidR="00803A02" w:rsidRPr="005D1193">
        <w:rPr>
          <w:rFonts w:ascii="Times New Roman" w:hAnsi="Times New Roman"/>
          <w:sz w:val="24"/>
          <w:szCs w:val="24"/>
        </w:rPr>
        <w:t>кореспондентських рахунках</w:t>
      </w:r>
      <w:r w:rsidRPr="005D1193">
        <w:rPr>
          <w:rFonts w:ascii="Times New Roman" w:hAnsi="Times New Roman"/>
          <w:sz w:val="24"/>
          <w:szCs w:val="24"/>
        </w:rPr>
        <w:t xml:space="preserve"> та клірингових рахунках</w:t>
      </w:r>
      <w:r w:rsidR="00BC656F" w:rsidRPr="005D1193">
        <w:rPr>
          <w:rFonts w:ascii="Times New Roman" w:hAnsi="Times New Roman"/>
          <w:sz w:val="24"/>
          <w:szCs w:val="24"/>
        </w:rPr>
        <w:t xml:space="preserve"> </w:t>
      </w:r>
      <w:r w:rsidR="00803A02" w:rsidRPr="005D1193">
        <w:rPr>
          <w:rFonts w:ascii="Times New Roman" w:hAnsi="Times New Roman"/>
          <w:sz w:val="24"/>
          <w:szCs w:val="24"/>
        </w:rPr>
        <w:t>/</w:t>
      </w:r>
      <w:r w:rsidR="00BC656F" w:rsidRPr="005D1193">
        <w:rPr>
          <w:rFonts w:ascii="Times New Roman" w:hAnsi="Times New Roman"/>
          <w:sz w:val="24"/>
          <w:szCs w:val="24"/>
        </w:rPr>
        <w:t xml:space="preserve"> </w:t>
      </w:r>
      <w:r w:rsidR="00803A02" w:rsidRPr="005D1193">
        <w:rPr>
          <w:rFonts w:ascii="Times New Roman" w:hAnsi="Times New Roman"/>
          <w:sz w:val="24"/>
          <w:szCs w:val="24"/>
        </w:rPr>
        <w:t>субрахунках</w:t>
      </w:r>
      <w:r w:rsidRPr="005D1193">
        <w:rPr>
          <w:rFonts w:ascii="Times New Roman" w:hAnsi="Times New Roman"/>
          <w:sz w:val="24"/>
          <w:szCs w:val="24"/>
        </w:rPr>
        <w:t xml:space="preserve"> тощо; </w:t>
      </w:r>
    </w:p>
    <w:p w14:paraId="0328D46A" w14:textId="13865A44"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 xml:space="preserve">організація електронного документообігу в Розрахунковому центрі та взаємодії з клієнтами, фондовими біржами, Центральним депозитарієм та </w:t>
      </w:r>
      <w:r w:rsidR="00D05A2D" w:rsidRPr="005D1193">
        <w:rPr>
          <w:rFonts w:ascii="Times New Roman" w:hAnsi="Times New Roman"/>
          <w:sz w:val="24"/>
          <w:szCs w:val="24"/>
        </w:rPr>
        <w:t xml:space="preserve">НБУ </w:t>
      </w:r>
      <w:r w:rsidRPr="005D1193">
        <w:rPr>
          <w:rFonts w:ascii="Times New Roman" w:hAnsi="Times New Roman"/>
          <w:sz w:val="24"/>
          <w:szCs w:val="24"/>
        </w:rPr>
        <w:t>засобами електронного документообігу;</w:t>
      </w:r>
    </w:p>
    <w:p w14:paraId="50698D18" w14:textId="5C00E61D"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 xml:space="preserve">дотримання стандартів обліку за всіма операціями у відповідності з встановленими </w:t>
      </w:r>
      <w:r w:rsidR="00D05A2D" w:rsidRPr="005D1193">
        <w:rPr>
          <w:rFonts w:ascii="Times New Roman" w:hAnsi="Times New Roman"/>
          <w:sz w:val="24"/>
          <w:szCs w:val="24"/>
        </w:rPr>
        <w:t xml:space="preserve">НБУ </w:t>
      </w:r>
      <w:r w:rsidRPr="005D1193">
        <w:rPr>
          <w:rFonts w:ascii="Times New Roman" w:hAnsi="Times New Roman"/>
          <w:sz w:val="24"/>
          <w:szCs w:val="24"/>
        </w:rPr>
        <w:t xml:space="preserve">та Національною комісією з цінних паперів та фондового ринку вимогами; </w:t>
      </w:r>
    </w:p>
    <w:p w14:paraId="7C56C076" w14:textId="77777777"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 xml:space="preserve">забезпечення подвійного контролю </w:t>
      </w:r>
      <w:r w:rsidR="006802CF" w:rsidRPr="005D1193">
        <w:rPr>
          <w:rFonts w:ascii="Times New Roman" w:hAnsi="Times New Roman"/>
          <w:sz w:val="24"/>
          <w:szCs w:val="24"/>
        </w:rPr>
        <w:t xml:space="preserve">за реквізитами </w:t>
      </w:r>
      <w:r w:rsidR="009E625E" w:rsidRPr="005D1193">
        <w:rPr>
          <w:rFonts w:ascii="Times New Roman" w:hAnsi="Times New Roman"/>
          <w:sz w:val="24"/>
          <w:szCs w:val="24"/>
        </w:rPr>
        <w:t xml:space="preserve">та правильністю оформлення </w:t>
      </w:r>
      <w:r w:rsidR="006802CF" w:rsidRPr="005D1193">
        <w:rPr>
          <w:rFonts w:ascii="Times New Roman" w:hAnsi="Times New Roman"/>
          <w:sz w:val="24"/>
          <w:szCs w:val="24"/>
        </w:rPr>
        <w:t>розрахункових</w:t>
      </w:r>
      <w:r w:rsidRPr="005D1193">
        <w:rPr>
          <w:rFonts w:ascii="Times New Roman" w:hAnsi="Times New Roman"/>
          <w:sz w:val="24"/>
          <w:szCs w:val="24"/>
        </w:rPr>
        <w:t xml:space="preserve"> документ</w:t>
      </w:r>
      <w:r w:rsidR="009E625E" w:rsidRPr="005D1193">
        <w:rPr>
          <w:rFonts w:ascii="Times New Roman" w:hAnsi="Times New Roman"/>
          <w:sz w:val="24"/>
          <w:szCs w:val="24"/>
        </w:rPr>
        <w:t>ів</w:t>
      </w:r>
      <w:r w:rsidRPr="005D1193">
        <w:rPr>
          <w:rFonts w:ascii="Times New Roman" w:hAnsi="Times New Roman"/>
          <w:sz w:val="24"/>
          <w:szCs w:val="24"/>
        </w:rPr>
        <w:t>;</w:t>
      </w:r>
    </w:p>
    <w:p w14:paraId="2722718B" w14:textId="77777777"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hAnsi="Times New Roman"/>
          <w:sz w:val="24"/>
          <w:szCs w:val="24"/>
        </w:rPr>
        <w:t>забезпечення додаткового контролю та санкціонування при здійсненні виправлень</w:t>
      </w:r>
      <w:r w:rsidRPr="005D1193">
        <w:rPr>
          <w:rFonts w:ascii="Times New Roman" w:eastAsia="Times New Roman" w:hAnsi="Times New Roman"/>
          <w:sz w:val="24"/>
          <w:szCs w:val="24"/>
          <w:lang w:eastAsia="ru-RU"/>
        </w:rPr>
        <w:t xml:space="preserve"> первинної інформації.</w:t>
      </w:r>
    </w:p>
    <w:p w14:paraId="6F6AB2F1" w14:textId="48D66D47" w:rsidR="00461444" w:rsidRPr="005D1193" w:rsidRDefault="00320C9B" w:rsidP="000A39DA">
      <w:pPr>
        <w:pStyle w:val="a5"/>
        <w:tabs>
          <w:tab w:val="left" w:pos="0"/>
          <w:tab w:val="left" w:pos="993"/>
        </w:tabs>
        <w:autoSpaceDE w:val="0"/>
        <w:autoSpaceDN w:val="0"/>
        <w:adjustRightInd w:val="0"/>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eastAsia="Times New Roman" w:hAnsi="Times New Roman"/>
          <w:sz w:val="24"/>
          <w:szCs w:val="24"/>
          <w:lang w:eastAsia="ru-RU"/>
        </w:rPr>
        <w:t>6</w:t>
      </w:r>
      <w:r w:rsidR="00AB2D27" w:rsidRPr="005D1193">
        <w:rPr>
          <w:rFonts w:ascii="Times New Roman" w:eastAsia="Times New Roman" w:hAnsi="Times New Roman"/>
          <w:sz w:val="24"/>
          <w:szCs w:val="24"/>
          <w:lang w:eastAsia="ru-RU"/>
        </w:rPr>
        <w:t>.</w:t>
      </w:r>
      <w:r w:rsidR="00234F91" w:rsidRPr="005D1193">
        <w:rPr>
          <w:rFonts w:ascii="Times New Roman" w:eastAsia="Times New Roman" w:hAnsi="Times New Roman"/>
          <w:sz w:val="24"/>
          <w:szCs w:val="24"/>
          <w:lang w:eastAsia="ru-RU"/>
        </w:rPr>
        <w:t>5</w:t>
      </w:r>
      <w:r w:rsidR="00461444" w:rsidRPr="005D1193">
        <w:rPr>
          <w:rFonts w:ascii="Times New Roman" w:eastAsia="Times New Roman" w:hAnsi="Times New Roman"/>
          <w:sz w:val="24"/>
          <w:szCs w:val="24"/>
          <w:lang w:eastAsia="ru-RU"/>
        </w:rPr>
        <w:t>. Основними заходами щодо мінімізації операційн</w:t>
      </w:r>
      <w:r w:rsidR="009103BE" w:rsidRPr="005D1193">
        <w:rPr>
          <w:rFonts w:ascii="Times New Roman" w:eastAsia="Times New Roman" w:hAnsi="Times New Roman"/>
          <w:sz w:val="24"/>
          <w:szCs w:val="24"/>
          <w:lang w:eastAsia="ru-RU"/>
        </w:rPr>
        <w:t>их</w:t>
      </w:r>
      <w:r w:rsidR="00461444" w:rsidRPr="005D1193">
        <w:rPr>
          <w:rFonts w:ascii="Times New Roman" w:eastAsia="Times New Roman" w:hAnsi="Times New Roman"/>
          <w:sz w:val="24"/>
          <w:szCs w:val="24"/>
          <w:lang w:eastAsia="ru-RU"/>
        </w:rPr>
        <w:t xml:space="preserve"> ризиків з точки зору організаційних процедур є:</w:t>
      </w:r>
    </w:p>
    <w:p w14:paraId="6B5FB265" w14:textId="77777777"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налагоджена структура прийняття та управління рішеннями;</w:t>
      </w:r>
    </w:p>
    <w:p w14:paraId="514BCDCB" w14:textId="77777777"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розробка та затвердження положень про структурні підрозділи та посадових інструкцій;</w:t>
      </w:r>
    </w:p>
    <w:p w14:paraId="6422BD62" w14:textId="77777777" w:rsidR="00461444" w:rsidRPr="005D1193" w:rsidRDefault="00461444" w:rsidP="000A39DA">
      <w:pPr>
        <w:pStyle w:val="a5"/>
        <w:numPr>
          <w:ilvl w:val="0"/>
          <w:numId w:val="3"/>
        </w:numPr>
        <w:tabs>
          <w:tab w:val="left" w:pos="993"/>
          <w:tab w:val="left" w:pos="1134"/>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дотримання режимних вимог до приміщень Розрахункового центру та використання системи повноважень та системи аутентифікованого доступу до програмно-технічних засобів, д</w:t>
      </w:r>
      <w:r w:rsidR="009E625E" w:rsidRPr="005D1193">
        <w:rPr>
          <w:rFonts w:ascii="Times New Roman" w:hAnsi="Times New Roman"/>
          <w:sz w:val="24"/>
          <w:szCs w:val="24"/>
        </w:rPr>
        <w:t>о</w:t>
      </w:r>
      <w:r w:rsidRPr="005D1193">
        <w:rPr>
          <w:rFonts w:ascii="Times New Roman" w:hAnsi="Times New Roman"/>
          <w:sz w:val="24"/>
          <w:szCs w:val="24"/>
        </w:rPr>
        <w:t xml:space="preserve"> здійснення операцій, отримання інформації щодо операцій за рахунками клієнтів і рахунками Розрахункового центру і первинної інформації;  </w:t>
      </w:r>
    </w:p>
    <w:p w14:paraId="23C8543C" w14:textId="49BA8116" w:rsidR="00461444" w:rsidRPr="005D1193" w:rsidRDefault="00461444" w:rsidP="000A39DA">
      <w:pPr>
        <w:pStyle w:val="a5"/>
        <w:numPr>
          <w:ilvl w:val="0"/>
          <w:numId w:val="3"/>
        </w:numPr>
        <w:tabs>
          <w:tab w:val="left" w:pos="993"/>
        </w:tabs>
        <w:spacing w:after="120" w:line="240" w:lineRule="auto"/>
        <w:ind w:left="0" w:firstLine="709"/>
        <w:contextualSpacing w:val="0"/>
        <w:jc w:val="both"/>
        <w:rPr>
          <w:rFonts w:ascii="Times New Roman" w:hAnsi="Times New Roman"/>
          <w:sz w:val="24"/>
          <w:szCs w:val="24"/>
        </w:rPr>
      </w:pPr>
      <w:r w:rsidRPr="005D1193">
        <w:rPr>
          <w:rFonts w:ascii="Times New Roman" w:hAnsi="Times New Roman"/>
          <w:sz w:val="24"/>
          <w:szCs w:val="24"/>
        </w:rPr>
        <w:t>визначення відповідальності за порушення діючих внутрішніх правил, стандартів та положень;</w:t>
      </w:r>
    </w:p>
    <w:p w14:paraId="57545065" w14:textId="398337C1" w:rsidR="00461444" w:rsidRPr="005D1193" w:rsidRDefault="00461444" w:rsidP="000A39DA">
      <w:pPr>
        <w:pStyle w:val="a5"/>
        <w:numPr>
          <w:ilvl w:val="0"/>
          <w:numId w:val="3"/>
        </w:numPr>
        <w:tabs>
          <w:tab w:val="left" w:pos="993"/>
        </w:tabs>
        <w:spacing w:after="120" w:line="240" w:lineRule="auto"/>
        <w:ind w:left="0" w:firstLine="709"/>
        <w:contextualSpacing w:val="0"/>
        <w:jc w:val="both"/>
        <w:rPr>
          <w:rFonts w:ascii="Times New Roman" w:eastAsia="Times New Roman" w:hAnsi="Times New Roman"/>
          <w:sz w:val="24"/>
          <w:szCs w:val="24"/>
          <w:lang w:eastAsia="ru-RU"/>
        </w:rPr>
      </w:pPr>
      <w:r w:rsidRPr="005D1193">
        <w:rPr>
          <w:rFonts w:ascii="Times New Roman" w:hAnsi="Times New Roman"/>
          <w:sz w:val="24"/>
          <w:szCs w:val="24"/>
        </w:rPr>
        <w:t>організаці</w:t>
      </w:r>
      <w:r w:rsidR="00D31C89" w:rsidRPr="005D1193">
        <w:rPr>
          <w:rFonts w:ascii="Times New Roman" w:hAnsi="Times New Roman"/>
          <w:sz w:val="24"/>
          <w:szCs w:val="24"/>
        </w:rPr>
        <w:t>я</w:t>
      </w:r>
      <w:r w:rsidRPr="005D1193">
        <w:rPr>
          <w:rFonts w:ascii="Times New Roman" w:eastAsia="Times New Roman" w:hAnsi="Times New Roman"/>
          <w:sz w:val="24"/>
          <w:szCs w:val="24"/>
          <w:lang w:eastAsia="ru-RU"/>
        </w:rPr>
        <w:t xml:space="preserve"> процесу навчання та підвищення кваліфікації персоналу.</w:t>
      </w:r>
    </w:p>
    <w:p w14:paraId="589D2149" w14:textId="09C3BB34" w:rsidR="00461444" w:rsidRPr="005D1193" w:rsidRDefault="00320C9B" w:rsidP="000A39DA">
      <w:pPr>
        <w:shd w:val="clear" w:color="auto" w:fill="FFFFFF"/>
        <w:tabs>
          <w:tab w:val="left" w:pos="851"/>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6</w:t>
      </w:r>
      <w:r w:rsidR="00AB2D27" w:rsidRPr="005D1193">
        <w:rPr>
          <w:rFonts w:ascii="Times New Roman" w:hAnsi="Times New Roman"/>
          <w:sz w:val="24"/>
          <w:szCs w:val="24"/>
        </w:rPr>
        <w:t>.</w:t>
      </w:r>
      <w:r w:rsidR="00234F91" w:rsidRPr="005D1193">
        <w:rPr>
          <w:rFonts w:ascii="Times New Roman" w:hAnsi="Times New Roman"/>
          <w:sz w:val="24"/>
          <w:szCs w:val="24"/>
        </w:rPr>
        <w:t>6</w:t>
      </w:r>
      <w:r w:rsidR="00461444" w:rsidRPr="005D1193">
        <w:rPr>
          <w:rFonts w:ascii="Times New Roman" w:hAnsi="Times New Roman"/>
          <w:sz w:val="24"/>
          <w:szCs w:val="24"/>
        </w:rPr>
        <w:t xml:space="preserve">. Основними заходами щодо мінімізації </w:t>
      </w:r>
      <w:r w:rsidR="001175E0" w:rsidRPr="005D1193">
        <w:rPr>
          <w:rFonts w:ascii="Times New Roman" w:hAnsi="Times New Roman"/>
          <w:sz w:val="24"/>
          <w:szCs w:val="24"/>
        </w:rPr>
        <w:t xml:space="preserve">операційного ризику в частині </w:t>
      </w:r>
      <w:r w:rsidR="00461444" w:rsidRPr="005D1193">
        <w:rPr>
          <w:rFonts w:ascii="Times New Roman" w:hAnsi="Times New Roman"/>
          <w:sz w:val="24"/>
          <w:szCs w:val="24"/>
        </w:rPr>
        <w:t>юридичного ризику в Розрахунковому центрі є:</w:t>
      </w:r>
    </w:p>
    <w:p w14:paraId="1F12CB42" w14:textId="21D311C4" w:rsidR="00461444" w:rsidRPr="005D1193" w:rsidRDefault="00461444" w:rsidP="000A39DA">
      <w:pPr>
        <w:numPr>
          <w:ilvl w:val="0"/>
          <w:numId w:val="12"/>
        </w:numPr>
        <w:shd w:val="clear" w:color="auto" w:fill="FFFFFF"/>
        <w:tabs>
          <w:tab w:val="left" w:pos="993"/>
          <w:tab w:val="left" w:pos="1134"/>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впровадження типових договорів</w:t>
      </w:r>
      <w:r w:rsidR="00234F91" w:rsidRPr="005D1193">
        <w:rPr>
          <w:rFonts w:ascii="Times New Roman" w:hAnsi="Times New Roman"/>
          <w:sz w:val="24"/>
          <w:szCs w:val="24"/>
        </w:rPr>
        <w:t xml:space="preserve">, на підставі яких надаються послуги клієнтам   Розрахункового центру, </w:t>
      </w:r>
      <w:r w:rsidRPr="005D1193">
        <w:rPr>
          <w:rFonts w:ascii="Times New Roman" w:hAnsi="Times New Roman"/>
          <w:sz w:val="24"/>
          <w:szCs w:val="24"/>
        </w:rPr>
        <w:t>та обов</w:t>
      </w:r>
      <w:r w:rsidR="005F41FA" w:rsidRPr="005D1193">
        <w:rPr>
          <w:rFonts w:ascii="Times New Roman" w:hAnsi="Times New Roman"/>
          <w:sz w:val="24"/>
          <w:szCs w:val="24"/>
        </w:rPr>
        <w:t>’</w:t>
      </w:r>
      <w:r w:rsidRPr="005D1193">
        <w:rPr>
          <w:rFonts w:ascii="Times New Roman" w:hAnsi="Times New Roman"/>
          <w:sz w:val="24"/>
          <w:szCs w:val="24"/>
        </w:rPr>
        <w:t>язков</w:t>
      </w:r>
      <w:r w:rsidR="00234F91" w:rsidRPr="005D1193">
        <w:rPr>
          <w:rFonts w:ascii="Times New Roman" w:hAnsi="Times New Roman"/>
          <w:sz w:val="24"/>
          <w:szCs w:val="24"/>
        </w:rPr>
        <w:t>а</w:t>
      </w:r>
      <w:r w:rsidRPr="005D1193">
        <w:rPr>
          <w:rFonts w:ascii="Times New Roman" w:hAnsi="Times New Roman"/>
          <w:sz w:val="24"/>
          <w:szCs w:val="24"/>
        </w:rPr>
        <w:t xml:space="preserve"> юридичн</w:t>
      </w:r>
      <w:r w:rsidR="00234F91" w:rsidRPr="005D1193">
        <w:rPr>
          <w:rFonts w:ascii="Times New Roman" w:hAnsi="Times New Roman"/>
          <w:sz w:val="24"/>
          <w:szCs w:val="24"/>
        </w:rPr>
        <w:t>а</w:t>
      </w:r>
      <w:r w:rsidRPr="005D1193">
        <w:rPr>
          <w:rFonts w:ascii="Times New Roman" w:hAnsi="Times New Roman"/>
          <w:sz w:val="24"/>
          <w:szCs w:val="24"/>
        </w:rPr>
        <w:t xml:space="preserve"> експертизи всіх договорів</w:t>
      </w:r>
      <w:r w:rsidR="00234F91" w:rsidRPr="005D1193">
        <w:rPr>
          <w:rFonts w:ascii="Times New Roman" w:hAnsi="Times New Roman"/>
          <w:sz w:val="24"/>
          <w:szCs w:val="24"/>
        </w:rPr>
        <w:t>, які укладаються Розрахунковим центром на умовах відмінних від типових договорів та договорів, укладених Розрахунковим центром з контрагентами для забезпечення господарської та професійної діяльності Розрахункового центру</w:t>
      </w:r>
      <w:r w:rsidRPr="005D1193">
        <w:rPr>
          <w:rFonts w:ascii="Times New Roman" w:hAnsi="Times New Roman"/>
          <w:sz w:val="24"/>
          <w:szCs w:val="24"/>
        </w:rPr>
        <w:t>;</w:t>
      </w:r>
    </w:p>
    <w:p w14:paraId="2F0C5F5F" w14:textId="77777777" w:rsidR="00461444" w:rsidRPr="005D1193" w:rsidRDefault="00461444" w:rsidP="000A39DA">
      <w:pPr>
        <w:numPr>
          <w:ilvl w:val="0"/>
          <w:numId w:val="12"/>
        </w:numPr>
        <w:shd w:val="clear" w:color="auto" w:fill="FFFFFF"/>
        <w:tabs>
          <w:tab w:val="left" w:pos="993"/>
          <w:tab w:val="left" w:pos="1134"/>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здійснення поточного контролю за відповідністю внутрішніх документів Розрахункового центру законодавству України та своєчасне приведення документів Розрахункового центру у відповідність до законодавства України;</w:t>
      </w:r>
    </w:p>
    <w:p w14:paraId="08B3826D" w14:textId="77777777" w:rsidR="00461444" w:rsidRPr="005D1193" w:rsidRDefault="00461444" w:rsidP="000A39DA">
      <w:pPr>
        <w:numPr>
          <w:ilvl w:val="0"/>
          <w:numId w:val="12"/>
        </w:numPr>
        <w:shd w:val="clear" w:color="auto" w:fill="FFFFFF"/>
        <w:tabs>
          <w:tab w:val="left" w:pos="993"/>
          <w:tab w:val="left" w:pos="1134"/>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своєчасне інформування підрозділів Розрахункового центру про зміни  законодавства України та внутрішніх документів Розрахункового центру;</w:t>
      </w:r>
    </w:p>
    <w:p w14:paraId="699F4AF0" w14:textId="77777777" w:rsidR="00461444" w:rsidRPr="005D1193" w:rsidRDefault="00461444" w:rsidP="000A39DA">
      <w:pPr>
        <w:numPr>
          <w:ilvl w:val="0"/>
          <w:numId w:val="12"/>
        </w:numPr>
        <w:shd w:val="clear" w:color="auto" w:fill="FFFFFF"/>
        <w:tabs>
          <w:tab w:val="left" w:pos="993"/>
          <w:tab w:val="left" w:pos="1134"/>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аналіз скарг та претензій учасників клірингу та інших клієнтів Розрахункового центру і впровадження заходів, спрямованих на попередження виникнення ситуацій, за яких до Розрахункового центру можливе застосування заходів впливу з боку органів регулювання та нагляду, виникнення судових справ</w:t>
      </w:r>
      <w:r w:rsidR="009E625E" w:rsidRPr="005D1193">
        <w:rPr>
          <w:rFonts w:ascii="Times New Roman" w:hAnsi="Times New Roman"/>
          <w:sz w:val="24"/>
          <w:szCs w:val="24"/>
        </w:rPr>
        <w:t>;</w:t>
      </w:r>
    </w:p>
    <w:p w14:paraId="1F0AD3FF" w14:textId="77777777" w:rsidR="00461444" w:rsidRPr="005D1193" w:rsidRDefault="00461444" w:rsidP="000A39DA">
      <w:pPr>
        <w:numPr>
          <w:ilvl w:val="0"/>
          <w:numId w:val="12"/>
        </w:numPr>
        <w:shd w:val="clear" w:color="auto" w:fill="FFFFFF"/>
        <w:tabs>
          <w:tab w:val="left" w:pos="993"/>
          <w:tab w:val="left" w:pos="1134"/>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 xml:space="preserve">постійне удосконалення кваліфікації працівників юридичного </w:t>
      </w:r>
      <w:r w:rsidR="00343EFC" w:rsidRPr="005D1193">
        <w:rPr>
          <w:rFonts w:ascii="Times New Roman" w:hAnsi="Times New Roman"/>
          <w:sz w:val="24"/>
          <w:szCs w:val="24"/>
        </w:rPr>
        <w:t>відділу</w:t>
      </w:r>
      <w:r w:rsidRPr="005D1193">
        <w:rPr>
          <w:rFonts w:ascii="Times New Roman" w:hAnsi="Times New Roman"/>
          <w:sz w:val="24"/>
          <w:szCs w:val="24"/>
        </w:rPr>
        <w:t xml:space="preserve"> з метою недопущення помилкових трактувань законодавства України.</w:t>
      </w:r>
    </w:p>
    <w:p w14:paraId="7D73AC4F" w14:textId="4602E1B9" w:rsidR="00461444" w:rsidRPr="005D1193" w:rsidRDefault="00320C9B" w:rsidP="000A39DA">
      <w:pPr>
        <w:tabs>
          <w:tab w:val="left" w:pos="993"/>
          <w:tab w:val="left" w:pos="1134"/>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6</w:t>
      </w:r>
      <w:r w:rsidR="00AB2D27" w:rsidRPr="005D1193">
        <w:rPr>
          <w:rFonts w:ascii="Times New Roman" w:hAnsi="Times New Roman"/>
          <w:sz w:val="24"/>
          <w:szCs w:val="24"/>
        </w:rPr>
        <w:t>.</w:t>
      </w:r>
      <w:r w:rsidR="00234F91" w:rsidRPr="005D1193">
        <w:rPr>
          <w:rFonts w:ascii="Times New Roman" w:hAnsi="Times New Roman"/>
          <w:sz w:val="24"/>
          <w:szCs w:val="24"/>
        </w:rPr>
        <w:t>7</w:t>
      </w:r>
      <w:r w:rsidR="00057A4C" w:rsidRPr="005D1193">
        <w:rPr>
          <w:rFonts w:ascii="Times New Roman" w:hAnsi="Times New Roman"/>
          <w:sz w:val="24"/>
          <w:szCs w:val="24"/>
        </w:rPr>
        <w:t>.</w:t>
      </w:r>
      <w:r w:rsidR="00461444" w:rsidRPr="005D1193">
        <w:rPr>
          <w:rFonts w:ascii="Times New Roman" w:hAnsi="Times New Roman"/>
          <w:sz w:val="24"/>
          <w:szCs w:val="24"/>
        </w:rPr>
        <w:t xml:space="preserve"> Основними заходами щодо мінімізації ризику </w:t>
      </w:r>
      <w:r w:rsidR="00B72CD0" w:rsidRPr="005D1193">
        <w:rPr>
          <w:rFonts w:ascii="Times New Roman" w:eastAsia="TimesNewRoman" w:hAnsi="Times New Roman"/>
          <w:sz w:val="24"/>
          <w:szCs w:val="24"/>
          <w:lang w:eastAsia="ru-RU"/>
        </w:rPr>
        <w:t xml:space="preserve">втрати ділової репутації (репутаційного ризику) </w:t>
      </w:r>
      <w:r w:rsidR="00461444" w:rsidRPr="005D1193">
        <w:rPr>
          <w:rFonts w:ascii="Times New Roman" w:hAnsi="Times New Roman"/>
          <w:sz w:val="24"/>
          <w:szCs w:val="24"/>
        </w:rPr>
        <w:t xml:space="preserve"> в Розрахунковому центрі є:</w:t>
      </w:r>
    </w:p>
    <w:p w14:paraId="59A64843" w14:textId="259EA0A8" w:rsidR="00461444" w:rsidRPr="005D1193" w:rsidRDefault="00461444" w:rsidP="000A39DA">
      <w:pPr>
        <w:numPr>
          <w:ilvl w:val="0"/>
          <w:numId w:val="12"/>
        </w:numPr>
        <w:tabs>
          <w:tab w:val="left" w:pos="993"/>
          <w:tab w:val="left" w:pos="1134"/>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lastRenderedPageBreak/>
        <w:t>проведення відповідної інформаційної політики, яка б передбачала публікацію інформації про Розрахунковий центр на офіційному вебсайті Розрахункового центру та у засобах масової інформації, спрямованої на підтримання позитивної репутації Розрахункового центру та його іміджу;</w:t>
      </w:r>
    </w:p>
    <w:p w14:paraId="5B2F0C07" w14:textId="77777777" w:rsidR="00461444" w:rsidRPr="005D1193" w:rsidRDefault="00461444" w:rsidP="000A39DA">
      <w:pPr>
        <w:numPr>
          <w:ilvl w:val="0"/>
          <w:numId w:val="12"/>
        </w:numPr>
        <w:tabs>
          <w:tab w:val="left" w:pos="993"/>
          <w:tab w:val="left" w:pos="1134"/>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участь у тематичних конференціях, організація робочих зустрічей та поточна взаємодія з учасниками фондового ринку, національними та міжнародними організаціями з питань клірингу, розрахунків та управління ризиками;</w:t>
      </w:r>
    </w:p>
    <w:p w14:paraId="36ED52A4" w14:textId="77777777" w:rsidR="00461444" w:rsidRPr="005D1193" w:rsidRDefault="00461444" w:rsidP="000A39DA">
      <w:pPr>
        <w:numPr>
          <w:ilvl w:val="0"/>
          <w:numId w:val="12"/>
        </w:numPr>
        <w:tabs>
          <w:tab w:val="left" w:pos="993"/>
          <w:tab w:val="left" w:pos="1134"/>
        </w:tabs>
        <w:spacing w:after="120" w:line="240" w:lineRule="auto"/>
        <w:ind w:left="0" w:firstLine="709"/>
        <w:jc w:val="both"/>
        <w:rPr>
          <w:rFonts w:ascii="Times New Roman" w:hAnsi="Times New Roman"/>
          <w:sz w:val="24"/>
          <w:szCs w:val="24"/>
        </w:rPr>
      </w:pPr>
      <w:r w:rsidRPr="005D1193">
        <w:rPr>
          <w:rFonts w:ascii="Times New Roman" w:hAnsi="Times New Roman"/>
          <w:sz w:val="24"/>
          <w:szCs w:val="24"/>
        </w:rPr>
        <w:t>врегулювання у робочому порядку спірних питань з учасниками клірингу та іншими учасниками фондового ринку.</w:t>
      </w:r>
    </w:p>
    <w:p w14:paraId="5BEABFDE" w14:textId="77777777" w:rsidR="000F63F3" w:rsidRPr="005D1193" w:rsidRDefault="000F63F3" w:rsidP="000F63F3">
      <w:pPr>
        <w:tabs>
          <w:tab w:val="left" w:pos="993"/>
          <w:tab w:val="left" w:pos="1134"/>
        </w:tabs>
        <w:spacing w:after="120" w:line="240" w:lineRule="auto"/>
        <w:ind w:left="709"/>
        <w:jc w:val="both"/>
        <w:rPr>
          <w:rFonts w:ascii="Times New Roman" w:hAnsi="Times New Roman"/>
          <w:sz w:val="24"/>
          <w:szCs w:val="24"/>
        </w:rPr>
      </w:pPr>
    </w:p>
    <w:p w14:paraId="0AEDC819" w14:textId="77777777" w:rsidR="00461444" w:rsidRPr="005D1193" w:rsidRDefault="003433F3" w:rsidP="00947CE3">
      <w:pPr>
        <w:tabs>
          <w:tab w:val="left" w:pos="993"/>
        </w:tabs>
        <w:spacing w:after="120" w:line="240" w:lineRule="auto"/>
        <w:jc w:val="center"/>
        <w:rPr>
          <w:rFonts w:ascii="Times New Roman" w:hAnsi="Times New Roman"/>
          <w:b/>
          <w:sz w:val="24"/>
          <w:szCs w:val="24"/>
        </w:rPr>
      </w:pPr>
      <w:r w:rsidRPr="005D1193">
        <w:rPr>
          <w:rFonts w:ascii="Times New Roman" w:hAnsi="Times New Roman"/>
          <w:b/>
          <w:sz w:val="24"/>
          <w:szCs w:val="24"/>
        </w:rPr>
        <w:t>7</w:t>
      </w:r>
      <w:r w:rsidR="00461444" w:rsidRPr="005D1193">
        <w:rPr>
          <w:rFonts w:ascii="Times New Roman" w:hAnsi="Times New Roman"/>
          <w:b/>
          <w:sz w:val="24"/>
          <w:szCs w:val="24"/>
        </w:rPr>
        <w:t>. Заходи з моделювання та прогнозування процесів і майбутніх результатів діяльності Розрахункового центру на основі аналізу інформації та оцінки ризиків</w:t>
      </w:r>
    </w:p>
    <w:p w14:paraId="5F221383" w14:textId="7DFECDEC" w:rsidR="00461444" w:rsidRPr="005D1193" w:rsidRDefault="003433F3"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7</w:t>
      </w:r>
      <w:r w:rsidR="00461444" w:rsidRPr="005D1193">
        <w:rPr>
          <w:rFonts w:ascii="Times New Roman" w:hAnsi="Times New Roman"/>
          <w:sz w:val="24"/>
          <w:szCs w:val="24"/>
        </w:rPr>
        <w:t xml:space="preserve">.1. Політика управління ризиками Розрахункового центру передбачає розробку та впровадження інтегрованого підходу, кількісної та/або якісної оцінки всіх основних ризиків з </w:t>
      </w:r>
      <w:r w:rsidR="004E6DB0" w:rsidRPr="005D1193">
        <w:rPr>
          <w:rFonts w:ascii="Times New Roman" w:hAnsi="Times New Roman"/>
          <w:sz w:val="24"/>
          <w:szCs w:val="24"/>
        </w:rPr>
        <w:t>наступним</w:t>
      </w:r>
      <w:r w:rsidR="00461444" w:rsidRPr="005D1193">
        <w:rPr>
          <w:rFonts w:ascii="Times New Roman" w:hAnsi="Times New Roman"/>
          <w:sz w:val="24"/>
          <w:szCs w:val="24"/>
        </w:rPr>
        <w:t xml:space="preserve"> їх агрегуванням у сукупний ризик Розрахункового центру, оцінкою прийнятності рівнів ризиків. </w:t>
      </w:r>
    </w:p>
    <w:p w14:paraId="39537DC7" w14:textId="395D52DC" w:rsidR="00850908" w:rsidRPr="005D1193" w:rsidRDefault="003433F3"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7</w:t>
      </w:r>
      <w:r w:rsidR="00461444" w:rsidRPr="005D1193">
        <w:rPr>
          <w:rFonts w:ascii="Times New Roman" w:hAnsi="Times New Roman"/>
          <w:sz w:val="24"/>
          <w:szCs w:val="24"/>
        </w:rPr>
        <w:t xml:space="preserve">.2. </w:t>
      </w:r>
      <w:r w:rsidR="00850908" w:rsidRPr="005D1193">
        <w:rPr>
          <w:rFonts w:ascii="Times New Roman" w:hAnsi="Times New Roman"/>
          <w:sz w:val="24"/>
          <w:szCs w:val="24"/>
        </w:rPr>
        <w:t xml:space="preserve">З метою встановлення належного рівня </w:t>
      </w:r>
      <w:r w:rsidR="00234F91" w:rsidRPr="005D1193">
        <w:rPr>
          <w:rFonts w:ascii="Times New Roman" w:hAnsi="Times New Roman"/>
          <w:sz w:val="24"/>
          <w:szCs w:val="24"/>
        </w:rPr>
        <w:t>г</w:t>
      </w:r>
      <w:r w:rsidR="00850908" w:rsidRPr="005D1193">
        <w:rPr>
          <w:rFonts w:ascii="Times New Roman" w:hAnsi="Times New Roman"/>
          <w:sz w:val="24"/>
          <w:szCs w:val="24"/>
        </w:rPr>
        <w:t>арантійного забезпечення Розрахунковий центр щонайменше раз у рік здійснює процедуру стрес</w:t>
      </w:r>
      <w:r w:rsidR="00392A3E" w:rsidRPr="005D1193">
        <w:rPr>
          <w:rFonts w:ascii="Times New Roman" w:hAnsi="Times New Roman"/>
          <w:sz w:val="24"/>
          <w:szCs w:val="24"/>
        </w:rPr>
        <w:t>-</w:t>
      </w:r>
      <w:r w:rsidR="00850908" w:rsidRPr="005D1193">
        <w:rPr>
          <w:rFonts w:ascii="Times New Roman" w:hAnsi="Times New Roman"/>
          <w:sz w:val="24"/>
          <w:szCs w:val="24"/>
        </w:rPr>
        <w:t>тестування невиконання обов</w:t>
      </w:r>
      <w:r w:rsidR="005F41FA" w:rsidRPr="005D1193">
        <w:rPr>
          <w:rFonts w:ascii="Times New Roman" w:hAnsi="Times New Roman"/>
          <w:sz w:val="24"/>
          <w:szCs w:val="24"/>
        </w:rPr>
        <w:t>’</w:t>
      </w:r>
      <w:r w:rsidR="00850908" w:rsidRPr="005D1193">
        <w:rPr>
          <w:rFonts w:ascii="Times New Roman" w:hAnsi="Times New Roman"/>
          <w:sz w:val="24"/>
          <w:szCs w:val="24"/>
        </w:rPr>
        <w:t>язків учасниками клірингу</w:t>
      </w:r>
      <w:r w:rsidR="00392A3E" w:rsidRPr="005D1193">
        <w:rPr>
          <w:rFonts w:ascii="Times New Roman" w:hAnsi="Times New Roman"/>
          <w:sz w:val="24"/>
          <w:szCs w:val="24"/>
        </w:rPr>
        <w:t>.</w:t>
      </w:r>
    </w:p>
    <w:p w14:paraId="530D186E" w14:textId="4C40A6C6" w:rsidR="00850908" w:rsidRPr="005D1193" w:rsidRDefault="003433F3"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7</w:t>
      </w:r>
      <w:r w:rsidR="00850908" w:rsidRPr="005D1193">
        <w:rPr>
          <w:rFonts w:ascii="Times New Roman" w:hAnsi="Times New Roman"/>
          <w:sz w:val="24"/>
          <w:szCs w:val="24"/>
        </w:rPr>
        <w:t>.3. Процедура стрес</w:t>
      </w:r>
      <w:r w:rsidR="00392A3E" w:rsidRPr="005D1193">
        <w:rPr>
          <w:rFonts w:ascii="Times New Roman" w:hAnsi="Times New Roman"/>
          <w:sz w:val="24"/>
          <w:szCs w:val="24"/>
        </w:rPr>
        <w:t>-</w:t>
      </w:r>
      <w:r w:rsidR="00850908" w:rsidRPr="005D1193">
        <w:rPr>
          <w:rFonts w:ascii="Times New Roman" w:hAnsi="Times New Roman"/>
          <w:sz w:val="24"/>
          <w:szCs w:val="24"/>
        </w:rPr>
        <w:t xml:space="preserve">тестування передбачає </w:t>
      </w:r>
      <w:r w:rsidR="00402D39" w:rsidRPr="005D1193">
        <w:rPr>
          <w:rFonts w:ascii="Times New Roman" w:hAnsi="Times New Roman"/>
          <w:sz w:val="24"/>
          <w:szCs w:val="24"/>
        </w:rPr>
        <w:t xml:space="preserve">невиконання </w:t>
      </w:r>
      <w:r w:rsidR="009103BE" w:rsidRPr="005D1193">
        <w:rPr>
          <w:rFonts w:ascii="Times New Roman" w:hAnsi="Times New Roman"/>
          <w:sz w:val="24"/>
          <w:szCs w:val="24"/>
        </w:rPr>
        <w:t xml:space="preserve">маржинальної вимоги </w:t>
      </w:r>
      <w:r w:rsidR="00850908" w:rsidRPr="005D1193">
        <w:rPr>
          <w:rFonts w:ascii="Times New Roman" w:hAnsi="Times New Roman"/>
          <w:sz w:val="24"/>
          <w:szCs w:val="24"/>
        </w:rPr>
        <w:t>у день</w:t>
      </w:r>
      <w:r w:rsidRPr="005D1193">
        <w:rPr>
          <w:rFonts w:ascii="Times New Roman" w:hAnsi="Times New Roman"/>
          <w:sz w:val="24"/>
          <w:szCs w:val="24"/>
        </w:rPr>
        <w:t>,</w:t>
      </w:r>
      <w:r w:rsidR="00850908" w:rsidRPr="005D1193">
        <w:rPr>
          <w:rFonts w:ascii="Times New Roman" w:hAnsi="Times New Roman"/>
          <w:sz w:val="24"/>
          <w:szCs w:val="24"/>
        </w:rPr>
        <w:t xml:space="preserve"> що передує </w:t>
      </w:r>
      <w:r w:rsidR="00392A3E" w:rsidRPr="005D1193">
        <w:rPr>
          <w:rFonts w:ascii="Times New Roman" w:hAnsi="Times New Roman"/>
          <w:sz w:val="24"/>
          <w:szCs w:val="24"/>
        </w:rPr>
        <w:t xml:space="preserve">дню проведення </w:t>
      </w:r>
      <w:r w:rsidR="00850908" w:rsidRPr="005D1193">
        <w:rPr>
          <w:rFonts w:ascii="Times New Roman" w:hAnsi="Times New Roman"/>
          <w:sz w:val="24"/>
          <w:szCs w:val="24"/>
        </w:rPr>
        <w:t>розрахунк</w:t>
      </w:r>
      <w:r w:rsidR="00392A3E" w:rsidRPr="005D1193">
        <w:rPr>
          <w:rFonts w:ascii="Times New Roman" w:hAnsi="Times New Roman"/>
          <w:sz w:val="24"/>
          <w:szCs w:val="24"/>
        </w:rPr>
        <w:t>ів</w:t>
      </w:r>
      <w:r w:rsidR="00850908" w:rsidRPr="005D1193">
        <w:rPr>
          <w:rFonts w:ascii="Times New Roman" w:hAnsi="Times New Roman"/>
          <w:sz w:val="24"/>
          <w:szCs w:val="24"/>
        </w:rPr>
        <w:t xml:space="preserve"> та невиконання обов</w:t>
      </w:r>
      <w:r w:rsidR="005F41FA" w:rsidRPr="005D1193">
        <w:rPr>
          <w:rFonts w:ascii="Times New Roman" w:hAnsi="Times New Roman"/>
          <w:sz w:val="24"/>
          <w:szCs w:val="24"/>
        </w:rPr>
        <w:t>’</w:t>
      </w:r>
      <w:r w:rsidR="00850908" w:rsidRPr="005D1193">
        <w:rPr>
          <w:rFonts w:ascii="Times New Roman" w:hAnsi="Times New Roman"/>
          <w:sz w:val="24"/>
          <w:szCs w:val="24"/>
        </w:rPr>
        <w:t xml:space="preserve">язків з поставки </w:t>
      </w:r>
      <w:r w:rsidR="00392A3E" w:rsidRPr="005D1193">
        <w:rPr>
          <w:rFonts w:ascii="Times New Roman" w:hAnsi="Times New Roman"/>
          <w:sz w:val="24"/>
          <w:szCs w:val="24"/>
        </w:rPr>
        <w:t xml:space="preserve">/ </w:t>
      </w:r>
      <w:r w:rsidR="00850908" w:rsidRPr="005D1193">
        <w:rPr>
          <w:rFonts w:ascii="Times New Roman" w:hAnsi="Times New Roman"/>
          <w:sz w:val="24"/>
          <w:szCs w:val="24"/>
        </w:rPr>
        <w:t xml:space="preserve">оплати цінних паперів у день </w:t>
      </w:r>
      <w:r w:rsidR="00392A3E" w:rsidRPr="005D1193">
        <w:rPr>
          <w:rFonts w:ascii="Times New Roman" w:hAnsi="Times New Roman"/>
          <w:sz w:val="24"/>
          <w:szCs w:val="24"/>
        </w:rPr>
        <w:t xml:space="preserve">проведення </w:t>
      </w:r>
      <w:r w:rsidR="00850908" w:rsidRPr="005D1193">
        <w:rPr>
          <w:rFonts w:ascii="Times New Roman" w:hAnsi="Times New Roman"/>
          <w:sz w:val="24"/>
          <w:szCs w:val="24"/>
        </w:rPr>
        <w:t>розрахунків.</w:t>
      </w:r>
    </w:p>
    <w:p w14:paraId="386F0555" w14:textId="77777777" w:rsidR="00850908" w:rsidRPr="005D1193" w:rsidRDefault="003433F3"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7</w:t>
      </w:r>
      <w:r w:rsidR="00850908" w:rsidRPr="005D1193">
        <w:rPr>
          <w:rFonts w:ascii="Times New Roman" w:hAnsi="Times New Roman"/>
          <w:sz w:val="24"/>
          <w:szCs w:val="24"/>
        </w:rPr>
        <w:t>.4. Завданням стрес</w:t>
      </w:r>
      <w:r w:rsidR="00392A3E" w:rsidRPr="005D1193">
        <w:rPr>
          <w:rFonts w:ascii="Times New Roman" w:hAnsi="Times New Roman"/>
          <w:sz w:val="24"/>
          <w:szCs w:val="24"/>
        </w:rPr>
        <w:t>-</w:t>
      </w:r>
      <w:r w:rsidR="00850908" w:rsidRPr="005D1193">
        <w:rPr>
          <w:rFonts w:ascii="Times New Roman" w:hAnsi="Times New Roman"/>
          <w:sz w:val="24"/>
          <w:szCs w:val="24"/>
        </w:rPr>
        <w:t>тестування є:</w:t>
      </w:r>
    </w:p>
    <w:p w14:paraId="162C71C3" w14:textId="77777777" w:rsidR="00850908" w:rsidRPr="005D1193" w:rsidRDefault="003433F3" w:rsidP="000A39DA">
      <w:pPr>
        <w:tabs>
          <w:tab w:val="left" w:pos="709"/>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7</w:t>
      </w:r>
      <w:r w:rsidR="00850908" w:rsidRPr="005D1193">
        <w:rPr>
          <w:rFonts w:ascii="Times New Roman" w:hAnsi="Times New Roman"/>
          <w:sz w:val="24"/>
          <w:szCs w:val="24"/>
        </w:rPr>
        <w:t>.4.1. виявлення рівня стійкості ризик моделі Розрахункового центру без залучення власного капіталу;</w:t>
      </w:r>
    </w:p>
    <w:p w14:paraId="3A6841B1" w14:textId="674AE680" w:rsidR="00850908" w:rsidRPr="005D1193" w:rsidRDefault="003433F3" w:rsidP="000A39DA">
      <w:pPr>
        <w:tabs>
          <w:tab w:val="left" w:pos="709"/>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7</w:t>
      </w:r>
      <w:r w:rsidR="00850908" w:rsidRPr="005D1193">
        <w:rPr>
          <w:rFonts w:ascii="Times New Roman" w:hAnsi="Times New Roman"/>
          <w:sz w:val="24"/>
          <w:szCs w:val="24"/>
        </w:rPr>
        <w:t>.4.</w:t>
      </w:r>
      <w:r w:rsidR="00475114" w:rsidRPr="005D1193">
        <w:rPr>
          <w:rFonts w:ascii="Times New Roman" w:hAnsi="Times New Roman"/>
          <w:sz w:val="24"/>
          <w:szCs w:val="24"/>
        </w:rPr>
        <w:t>2</w:t>
      </w:r>
      <w:r w:rsidR="00850908" w:rsidRPr="005D1193">
        <w:rPr>
          <w:rFonts w:ascii="Times New Roman" w:hAnsi="Times New Roman"/>
          <w:sz w:val="24"/>
          <w:szCs w:val="24"/>
        </w:rPr>
        <w:t xml:space="preserve">. визначення належного коефіцієнта </w:t>
      </w:r>
      <w:r w:rsidR="009103BE" w:rsidRPr="005D1193">
        <w:rPr>
          <w:rFonts w:ascii="Times New Roman" w:hAnsi="Times New Roman"/>
          <w:sz w:val="24"/>
          <w:szCs w:val="24"/>
        </w:rPr>
        <w:t>КОЗ</w:t>
      </w:r>
      <w:r w:rsidR="00850908" w:rsidRPr="005D1193">
        <w:rPr>
          <w:rFonts w:ascii="Times New Roman" w:hAnsi="Times New Roman"/>
          <w:sz w:val="24"/>
          <w:szCs w:val="24"/>
        </w:rPr>
        <w:t xml:space="preserve">, що є складовою формули </w:t>
      </w:r>
      <w:r w:rsidR="009103BE" w:rsidRPr="005D1193">
        <w:rPr>
          <w:rFonts w:ascii="Times New Roman" w:hAnsi="Times New Roman"/>
          <w:sz w:val="24"/>
          <w:szCs w:val="24"/>
        </w:rPr>
        <w:t>оцінки в</w:t>
      </w:r>
      <w:r w:rsidR="00475114" w:rsidRPr="005D1193">
        <w:rPr>
          <w:rFonts w:ascii="Times New Roman" w:hAnsi="Times New Roman"/>
          <w:sz w:val="24"/>
          <w:szCs w:val="24"/>
        </w:rPr>
        <w:t>а</w:t>
      </w:r>
      <w:r w:rsidR="009103BE" w:rsidRPr="005D1193">
        <w:rPr>
          <w:rFonts w:ascii="Times New Roman" w:hAnsi="Times New Roman"/>
          <w:sz w:val="24"/>
          <w:szCs w:val="24"/>
        </w:rPr>
        <w:t>ртості зобов</w:t>
      </w:r>
      <w:r w:rsidR="005F41FA" w:rsidRPr="005D1193">
        <w:rPr>
          <w:rFonts w:ascii="Times New Roman" w:hAnsi="Times New Roman"/>
          <w:sz w:val="24"/>
          <w:szCs w:val="24"/>
        </w:rPr>
        <w:t>’</w:t>
      </w:r>
      <w:r w:rsidR="009103BE" w:rsidRPr="005D1193">
        <w:rPr>
          <w:rFonts w:ascii="Times New Roman" w:hAnsi="Times New Roman"/>
          <w:sz w:val="24"/>
          <w:szCs w:val="24"/>
        </w:rPr>
        <w:t>язань учасників клірингу</w:t>
      </w:r>
      <w:r w:rsidR="00392A3E" w:rsidRPr="005D1193">
        <w:rPr>
          <w:rFonts w:ascii="Times New Roman" w:hAnsi="Times New Roman"/>
          <w:sz w:val="24"/>
          <w:szCs w:val="24"/>
        </w:rPr>
        <w:t>.</w:t>
      </w:r>
    </w:p>
    <w:p w14:paraId="4CACFD5D" w14:textId="0EEA35D6" w:rsidR="00461444" w:rsidRPr="005D1193" w:rsidRDefault="003433F3" w:rsidP="000A39DA">
      <w:pPr>
        <w:tabs>
          <w:tab w:val="left" w:pos="993"/>
          <w:tab w:val="left" w:pos="1560"/>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7</w:t>
      </w:r>
      <w:r w:rsidR="00850908" w:rsidRPr="005D1193">
        <w:rPr>
          <w:rFonts w:ascii="Times New Roman" w:hAnsi="Times New Roman"/>
          <w:sz w:val="24"/>
          <w:szCs w:val="24"/>
        </w:rPr>
        <w:t xml:space="preserve">.5. З метою забезпечення контролю належного рівня </w:t>
      </w:r>
      <w:r w:rsidR="00835DB2" w:rsidRPr="005D1193">
        <w:rPr>
          <w:rFonts w:ascii="Times New Roman" w:hAnsi="Times New Roman"/>
          <w:sz w:val="24"/>
          <w:szCs w:val="24"/>
        </w:rPr>
        <w:t xml:space="preserve">технологічного ризику </w:t>
      </w:r>
      <w:r w:rsidR="00850908" w:rsidRPr="005D1193">
        <w:rPr>
          <w:rFonts w:ascii="Times New Roman" w:hAnsi="Times New Roman"/>
          <w:sz w:val="24"/>
          <w:szCs w:val="24"/>
        </w:rPr>
        <w:t>Розрахунковий центр щонайменше раз на рік здійснює тестування евакуаційної процедури з використанням резервних обчислювальних можливостей, що розташовані у резервному офісі Розрахункового центру</w:t>
      </w:r>
      <w:r w:rsidR="00392A3E" w:rsidRPr="005D1193">
        <w:rPr>
          <w:rFonts w:ascii="Times New Roman" w:hAnsi="Times New Roman"/>
          <w:sz w:val="24"/>
          <w:szCs w:val="24"/>
        </w:rPr>
        <w:t>.</w:t>
      </w:r>
      <w:r w:rsidR="00461444" w:rsidRPr="005D1193">
        <w:rPr>
          <w:rFonts w:ascii="Times New Roman" w:hAnsi="Times New Roman"/>
          <w:sz w:val="24"/>
          <w:szCs w:val="24"/>
        </w:rPr>
        <w:t xml:space="preserve"> </w:t>
      </w:r>
    </w:p>
    <w:p w14:paraId="1D3A1FD0" w14:textId="77777777" w:rsidR="00A058CC" w:rsidRPr="005D1193" w:rsidRDefault="003433F3" w:rsidP="00947CE3">
      <w:pPr>
        <w:tabs>
          <w:tab w:val="left" w:pos="993"/>
        </w:tabs>
        <w:spacing w:after="120" w:line="240" w:lineRule="auto"/>
        <w:jc w:val="center"/>
        <w:rPr>
          <w:rFonts w:ascii="Times New Roman" w:hAnsi="Times New Roman"/>
          <w:b/>
          <w:sz w:val="24"/>
          <w:szCs w:val="24"/>
        </w:rPr>
      </w:pPr>
      <w:r w:rsidRPr="005D1193">
        <w:rPr>
          <w:rFonts w:ascii="Times New Roman" w:hAnsi="Times New Roman"/>
          <w:b/>
          <w:sz w:val="24"/>
          <w:szCs w:val="24"/>
        </w:rPr>
        <w:t>8</w:t>
      </w:r>
      <w:r w:rsidR="00A058CC" w:rsidRPr="005D1193">
        <w:rPr>
          <w:rFonts w:ascii="Times New Roman" w:hAnsi="Times New Roman"/>
          <w:b/>
          <w:sz w:val="24"/>
          <w:szCs w:val="24"/>
        </w:rPr>
        <w:t xml:space="preserve">. </w:t>
      </w:r>
      <w:r w:rsidR="00B61BD9" w:rsidRPr="005D1193">
        <w:rPr>
          <w:rFonts w:ascii="Times New Roman" w:hAnsi="Times New Roman"/>
          <w:b/>
          <w:sz w:val="24"/>
          <w:szCs w:val="24"/>
        </w:rPr>
        <w:t>Заключні</w:t>
      </w:r>
      <w:r w:rsidR="00A058CC" w:rsidRPr="005D1193">
        <w:rPr>
          <w:rFonts w:ascii="Times New Roman" w:hAnsi="Times New Roman"/>
          <w:b/>
          <w:sz w:val="24"/>
          <w:szCs w:val="24"/>
        </w:rPr>
        <w:t xml:space="preserve"> положення</w:t>
      </w:r>
    </w:p>
    <w:p w14:paraId="59E33DE9" w14:textId="77777777" w:rsidR="00A058CC" w:rsidRPr="005D1193" w:rsidRDefault="003433F3" w:rsidP="000A39DA">
      <w:pPr>
        <w:tabs>
          <w:tab w:val="num" w:pos="142"/>
          <w:tab w:val="left" w:pos="284"/>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8</w:t>
      </w:r>
      <w:r w:rsidR="00A058CC" w:rsidRPr="005D1193">
        <w:rPr>
          <w:rFonts w:ascii="Times New Roman" w:hAnsi="Times New Roman"/>
          <w:sz w:val="24"/>
          <w:szCs w:val="24"/>
        </w:rPr>
        <w:t>.1. Це Положення затверджується Правлінням</w:t>
      </w:r>
      <w:r w:rsidR="009650D5" w:rsidRPr="005D1193">
        <w:rPr>
          <w:rFonts w:ascii="Times New Roman" w:hAnsi="Times New Roman"/>
          <w:sz w:val="24"/>
          <w:szCs w:val="24"/>
        </w:rPr>
        <w:t xml:space="preserve"> Розрахункового центру</w:t>
      </w:r>
      <w:r w:rsidR="00A058CC" w:rsidRPr="005D1193">
        <w:rPr>
          <w:rFonts w:ascii="Times New Roman" w:hAnsi="Times New Roman"/>
          <w:sz w:val="24"/>
          <w:szCs w:val="24"/>
        </w:rPr>
        <w:t>. Внесення змін та доповнень до Положення здійснюється шляхом затвердження</w:t>
      </w:r>
      <w:r w:rsidR="009650D5" w:rsidRPr="005D1193">
        <w:rPr>
          <w:rFonts w:ascii="Times New Roman" w:hAnsi="Times New Roman"/>
          <w:sz w:val="24"/>
          <w:szCs w:val="24"/>
        </w:rPr>
        <w:t xml:space="preserve"> Правлінням Розрахункового центру </w:t>
      </w:r>
      <w:r w:rsidR="00A058CC" w:rsidRPr="005D1193">
        <w:rPr>
          <w:rFonts w:ascii="Times New Roman" w:hAnsi="Times New Roman"/>
          <w:sz w:val="24"/>
          <w:szCs w:val="24"/>
        </w:rPr>
        <w:t>нової редакції цього Положення.</w:t>
      </w:r>
    </w:p>
    <w:p w14:paraId="7DCAFB31" w14:textId="25603827" w:rsidR="00A55C69" w:rsidRPr="005D1193" w:rsidRDefault="003433F3" w:rsidP="000A39DA">
      <w:pPr>
        <w:tabs>
          <w:tab w:val="num" w:pos="142"/>
          <w:tab w:val="left" w:pos="284"/>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8</w:t>
      </w:r>
      <w:r w:rsidR="00A55C69" w:rsidRPr="005D1193">
        <w:rPr>
          <w:rFonts w:ascii="Times New Roman" w:hAnsi="Times New Roman"/>
          <w:sz w:val="24"/>
          <w:szCs w:val="24"/>
        </w:rPr>
        <w:t>.2. Це Положення</w:t>
      </w:r>
      <w:r w:rsidR="001B5483" w:rsidRPr="005D1193">
        <w:rPr>
          <w:rFonts w:ascii="Times New Roman" w:hAnsi="Times New Roman"/>
          <w:sz w:val="24"/>
          <w:szCs w:val="24"/>
        </w:rPr>
        <w:t>,</w:t>
      </w:r>
      <w:r w:rsidR="009650D5" w:rsidRPr="005D1193">
        <w:rPr>
          <w:rFonts w:ascii="Times New Roman" w:hAnsi="Times New Roman"/>
          <w:sz w:val="24"/>
          <w:szCs w:val="24"/>
        </w:rPr>
        <w:t xml:space="preserve"> зміни </w:t>
      </w:r>
      <w:r w:rsidR="001B5483" w:rsidRPr="005D1193">
        <w:rPr>
          <w:rFonts w:ascii="Times New Roman" w:hAnsi="Times New Roman"/>
          <w:sz w:val="24"/>
          <w:szCs w:val="24"/>
        </w:rPr>
        <w:t xml:space="preserve">та доповнення </w:t>
      </w:r>
      <w:r w:rsidR="009650D5" w:rsidRPr="005D1193">
        <w:rPr>
          <w:rFonts w:ascii="Times New Roman" w:hAnsi="Times New Roman"/>
          <w:sz w:val="24"/>
          <w:szCs w:val="24"/>
        </w:rPr>
        <w:t xml:space="preserve">до нього </w:t>
      </w:r>
      <w:r w:rsidR="00A55C69" w:rsidRPr="005D1193">
        <w:rPr>
          <w:rFonts w:ascii="Times New Roman" w:hAnsi="Times New Roman"/>
          <w:sz w:val="24"/>
          <w:szCs w:val="24"/>
        </w:rPr>
        <w:t>підляга</w:t>
      </w:r>
      <w:r w:rsidR="009650D5" w:rsidRPr="005D1193">
        <w:rPr>
          <w:rFonts w:ascii="Times New Roman" w:hAnsi="Times New Roman"/>
          <w:sz w:val="24"/>
          <w:szCs w:val="24"/>
        </w:rPr>
        <w:t>ють</w:t>
      </w:r>
      <w:r w:rsidR="00A55C69" w:rsidRPr="005D1193">
        <w:rPr>
          <w:rFonts w:ascii="Times New Roman" w:hAnsi="Times New Roman"/>
          <w:sz w:val="24"/>
          <w:szCs w:val="24"/>
        </w:rPr>
        <w:t xml:space="preserve"> реєстрації в Національній комісії з цінних паперів та фондового ринку в установленому законодавством України порядку. </w:t>
      </w:r>
    </w:p>
    <w:p w14:paraId="6F13880D" w14:textId="6BBC2E7C" w:rsidR="001B5483" w:rsidRPr="005D1193" w:rsidRDefault="001B5483" w:rsidP="000A39DA">
      <w:pPr>
        <w:tabs>
          <w:tab w:val="num" w:pos="142"/>
          <w:tab w:val="left" w:pos="284"/>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8.3. Розрахунковий центр забезпечує постійний вільний доступ до цього Положення, змін та доповнень до нього шляхом розміщення його на власному вебсайті Розрахункового центру. Розрахунковий центр повідомляє клієнтів про внесення змін та доповнень до цього Положення в строк не пізніше ніж за 5 (п</w:t>
      </w:r>
      <w:r w:rsidR="005F41FA" w:rsidRPr="005D1193">
        <w:rPr>
          <w:rFonts w:ascii="Times New Roman" w:hAnsi="Times New Roman"/>
          <w:sz w:val="24"/>
          <w:szCs w:val="24"/>
        </w:rPr>
        <w:t>’</w:t>
      </w:r>
      <w:r w:rsidRPr="005D1193">
        <w:rPr>
          <w:rFonts w:ascii="Times New Roman" w:hAnsi="Times New Roman"/>
          <w:sz w:val="24"/>
          <w:szCs w:val="24"/>
        </w:rPr>
        <w:t>ять) робочих днів до набрання чинності цими змінами та доповненнями шляхом оприлюднення відповідної інформації на власному вебсайті Розрахункового центру.</w:t>
      </w:r>
    </w:p>
    <w:p w14:paraId="5B57414C" w14:textId="1DE8E65A" w:rsidR="001B5483" w:rsidRPr="005D1193" w:rsidRDefault="003433F3" w:rsidP="000A39DA">
      <w:pPr>
        <w:tabs>
          <w:tab w:val="num" w:pos="142"/>
          <w:tab w:val="left" w:pos="284"/>
          <w:tab w:val="left" w:pos="993"/>
        </w:tabs>
        <w:spacing w:after="120" w:line="240" w:lineRule="auto"/>
        <w:ind w:firstLine="709"/>
        <w:jc w:val="both"/>
        <w:rPr>
          <w:rFonts w:ascii="Times New Roman" w:hAnsi="Times New Roman"/>
          <w:sz w:val="24"/>
          <w:szCs w:val="24"/>
        </w:rPr>
      </w:pPr>
      <w:r w:rsidRPr="005D1193">
        <w:rPr>
          <w:rFonts w:ascii="Times New Roman" w:hAnsi="Times New Roman"/>
          <w:sz w:val="24"/>
          <w:szCs w:val="24"/>
        </w:rPr>
        <w:t>8</w:t>
      </w:r>
      <w:r w:rsidR="00A058CC" w:rsidRPr="005D1193">
        <w:rPr>
          <w:rFonts w:ascii="Times New Roman" w:hAnsi="Times New Roman"/>
          <w:sz w:val="24"/>
          <w:szCs w:val="24"/>
        </w:rPr>
        <w:t>.</w:t>
      </w:r>
      <w:r w:rsidR="00143765" w:rsidRPr="005D1193">
        <w:rPr>
          <w:rFonts w:ascii="Times New Roman" w:hAnsi="Times New Roman"/>
          <w:sz w:val="24"/>
          <w:szCs w:val="24"/>
        </w:rPr>
        <w:t>4</w:t>
      </w:r>
      <w:r w:rsidR="00A058CC" w:rsidRPr="005D1193">
        <w:rPr>
          <w:rFonts w:ascii="Times New Roman" w:hAnsi="Times New Roman"/>
          <w:sz w:val="24"/>
          <w:szCs w:val="24"/>
        </w:rPr>
        <w:t>.</w:t>
      </w:r>
      <w:r w:rsidR="001B5483" w:rsidRPr="005D1193">
        <w:rPr>
          <w:rFonts w:ascii="Times New Roman" w:hAnsi="Times New Roman"/>
          <w:sz w:val="24"/>
          <w:szCs w:val="24"/>
        </w:rPr>
        <w:t xml:space="preserve"> У разі змін законодавства України, до приведення цього Положення у відповідність до законодавства України, це Положення застосовується у частині, що не суперечить законодавству України.</w:t>
      </w:r>
    </w:p>
    <w:p w14:paraId="0C952CCC" w14:textId="77777777" w:rsidR="0074503C" w:rsidRPr="005D1193" w:rsidRDefault="0074503C">
      <w:pPr>
        <w:spacing w:after="0" w:line="240" w:lineRule="auto"/>
        <w:rPr>
          <w:rFonts w:ascii="Times New Roman" w:hAnsi="Times New Roman"/>
          <w:b/>
          <w:sz w:val="24"/>
          <w:szCs w:val="24"/>
        </w:rPr>
      </w:pPr>
    </w:p>
    <w:p w14:paraId="483E3B43" w14:textId="77777777" w:rsidR="0052792B" w:rsidRPr="005D1193" w:rsidRDefault="0052792B">
      <w:pPr>
        <w:spacing w:after="0" w:line="240" w:lineRule="auto"/>
        <w:rPr>
          <w:rFonts w:ascii="Times New Roman" w:hAnsi="Times New Roman"/>
          <w:b/>
          <w:sz w:val="24"/>
          <w:szCs w:val="24"/>
        </w:rPr>
      </w:pPr>
    </w:p>
    <w:p w14:paraId="38F25AA9" w14:textId="77777777" w:rsidR="00733D26" w:rsidRPr="005D1193" w:rsidRDefault="00733D26">
      <w:pPr>
        <w:spacing w:after="0" w:line="240" w:lineRule="auto"/>
        <w:rPr>
          <w:rFonts w:ascii="Times New Roman" w:hAnsi="Times New Roman"/>
          <w:b/>
          <w:sz w:val="24"/>
          <w:szCs w:val="24"/>
        </w:rPr>
      </w:pPr>
    </w:p>
    <w:p w14:paraId="51E450DF" w14:textId="77777777" w:rsidR="0074503C" w:rsidRPr="005D1193" w:rsidRDefault="0074503C">
      <w:pPr>
        <w:spacing w:after="0" w:line="240" w:lineRule="auto"/>
        <w:rPr>
          <w:rFonts w:ascii="Times New Roman" w:hAnsi="Times New Roman"/>
          <w:b/>
          <w:sz w:val="24"/>
          <w:szCs w:val="24"/>
        </w:rPr>
      </w:pPr>
    </w:p>
    <w:p w14:paraId="7183C5E6" w14:textId="1674508F" w:rsidR="0079136E" w:rsidRPr="005D1193" w:rsidRDefault="00A058CC">
      <w:pPr>
        <w:spacing w:after="0" w:line="240" w:lineRule="auto"/>
        <w:rPr>
          <w:sz w:val="24"/>
          <w:szCs w:val="24"/>
        </w:rPr>
      </w:pPr>
      <w:r w:rsidRPr="005D1193">
        <w:rPr>
          <w:rFonts w:ascii="Times New Roman" w:hAnsi="Times New Roman"/>
          <w:b/>
          <w:sz w:val="24"/>
          <w:szCs w:val="24"/>
        </w:rPr>
        <w:t xml:space="preserve">Голова </w:t>
      </w:r>
      <w:r w:rsidR="0091573C" w:rsidRPr="005D1193">
        <w:rPr>
          <w:rFonts w:ascii="Times New Roman" w:hAnsi="Times New Roman"/>
          <w:b/>
          <w:sz w:val="24"/>
          <w:szCs w:val="24"/>
        </w:rPr>
        <w:t>П</w:t>
      </w:r>
      <w:r w:rsidRPr="005D1193">
        <w:rPr>
          <w:rFonts w:ascii="Times New Roman" w:hAnsi="Times New Roman"/>
          <w:b/>
          <w:sz w:val="24"/>
          <w:szCs w:val="24"/>
        </w:rPr>
        <w:t>равління</w:t>
      </w:r>
      <w:r w:rsidRPr="005D1193">
        <w:rPr>
          <w:rFonts w:ascii="Times New Roman" w:hAnsi="Times New Roman"/>
          <w:b/>
          <w:sz w:val="24"/>
          <w:szCs w:val="24"/>
        </w:rPr>
        <w:tab/>
      </w:r>
      <w:r w:rsidRPr="005D1193">
        <w:rPr>
          <w:rFonts w:ascii="Times New Roman" w:hAnsi="Times New Roman"/>
          <w:b/>
          <w:sz w:val="24"/>
          <w:szCs w:val="24"/>
        </w:rPr>
        <w:tab/>
      </w:r>
      <w:r w:rsidRPr="005D1193">
        <w:rPr>
          <w:rFonts w:ascii="Times New Roman" w:hAnsi="Times New Roman"/>
          <w:b/>
          <w:sz w:val="24"/>
          <w:szCs w:val="24"/>
        </w:rPr>
        <w:tab/>
      </w:r>
      <w:r w:rsidRPr="005D1193">
        <w:rPr>
          <w:rFonts w:ascii="Times New Roman" w:hAnsi="Times New Roman"/>
          <w:b/>
          <w:sz w:val="24"/>
          <w:szCs w:val="24"/>
        </w:rPr>
        <w:tab/>
      </w:r>
      <w:r w:rsidRPr="005D1193">
        <w:rPr>
          <w:rFonts w:ascii="Times New Roman" w:hAnsi="Times New Roman"/>
          <w:b/>
          <w:sz w:val="24"/>
          <w:szCs w:val="24"/>
        </w:rPr>
        <w:tab/>
      </w:r>
      <w:r w:rsidR="00AF02E2" w:rsidRPr="005D1193">
        <w:rPr>
          <w:rFonts w:ascii="Times New Roman" w:hAnsi="Times New Roman"/>
          <w:b/>
          <w:sz w:val="24"/>
          <w:szCs w:val="24"/>
        </w:rPr>
        <w:t xml:space="preserve">     </w:t>
      </w:r>
      <w:r w:rsidR="00803A02" w:rsidRPr="005D1193">
        <w:rPr>
          <w:rFonts w:ascii="Times New Roman" w:hAnsi="Times New Roman"/>
          <w:b/>
          <w:sz w:val="24"/>
          <w:szCs w:val="24"/>
        </w:rPr>
        <w:t xml:space="preserve"> </w:t>
      </w:r>
      <w:r w:rsidR="005F41FA" w:rsidRPr="005D1193">
        <w:rPr>
          <w:rFonts w:ascii="Times New Roman" w:hAnsi="Times New Roman"/>
          <w:b/>
          <w:sz w:val="24"/>
          <w:szCs w:val="24"/>
        </w:rPr>
        <w:t xml:space="preserve">     </w:t>
      </w:r>
      <w:r w:rsidR="0052792B">
        <w:rPr>
          <w:rFonts w:ascii="Times New Roman" w:hAnsi="Times New Roman"/>
          <w:b/>
          <w:sz w:val="24"/>
          <w:szCs w:val="24"/>
        </w:rPr>
        <w:t xml:space="preserve"> </w:t>
      </w:r>
      <w:r w:rsidR="005F41FA" w:rsidRPr="005D1193">
        <w:rPr>
          <w:rFonts w:ascii="Times New Roman" w:hAnsi="Times New Roman"/>
          <w:b/>
          <w:sz w:val="24"/>
          <w:szCs w:val="24"/>
        </w:rPr>
        <w:t xml:space="preserve">     </w:t>
      </w:r>
      <w:r w:rsidR="00803A02" w:rsidRPr="005D1193">
        <w:rPr>
          <w:rFonts w:ascii="Times New Roman" w:hAnsi="Times New Roman"/>
          <w:b/>
          <w:sz w:val="24"/>
          <w:szCs w:val="24"/>
        </w:rPr>
        <w:t xml:space="preserve">       </w:t>
      </w:r>
      <w:r w:rsidRPr="005D1193">
        <w:rPr>
          <w:rFonts w:ascii="Times New Roman" w:hAnsi="Times New Roman"/>
          <w:b/>
          <w:sz w:val="24"/>
          <w:szCs w:val="24"/>
        </w:rPr>
        <w:tab/>
      </w:r>
      <w:r w:rsidR="00491A29" w:rsidRPr="005D1193">
        <w:rPr>
          <w:rFonts w:ascii="Times New Roman" w:hAnsi="Times New Roman"/>
          <w:b/>
          <w:sz w:val="24"/>
          <w:szCs w:val="24"/>
        </w:rPr>
        <w:t>О.В.Ткаченко</w:t>
      </w:r>
      <w:r w:rsidR="0079136E" w:rsidRPr="005D1193">
        <w:rPr>
          <w:sz w:val="24"/>
          <w:szCs w:val="24"/>
        </w:rPr>
        <w:br w:type="page"/>
      </w:r>
    </w:p>
    <w:tbl>
      <w:tblPr>
        <w:tblW w:w="9902" w:type="dxa"/>
        <w:tblLook w:val="01E0" w:firstRow="1" w:lastRow="1" w:firstColumn="1" w:lastColumn="1" w:noHBand="0" w:noVBand="0"/>
      </w:tblPr>
      <w:tblGrid>
        <w:gridCol w:w="4219"/>
        <w:gridCol w:w="5683"/>
      </w:tblGrid>
      <w:tr w:rsidR="0079136E" w:rsidRPr="005D1193" w14:paraId="1657C2F0" w14:textId="77777777" w:rsidTr="005F41FA">
        <w:tc>
          <w:tcPr>
            <w:tcW w:w="4219" w:type="dxa"/>
          </w:tcPr>
          <w:p w14:paraId="1C0037B5" w14:textId="77777777" w:rsidR="005F41FA" w:rsidRPr="005D1193" w:rsidRDefault="0079136E" w:rsidP="005F41FA">
            <w:pPr>
              <w:tabs>
                <w:tab w:val="left" w:pos="709"/>
              </w:tabs>
              <w:spacing w:after="0"/>
              <w:rPr>
                <w:rFonts w:ascii="Times New Roman" w:hAnsi="Times New Roman"/>
                <w:sz w:val="24"/>
                <w:szCs w:val="24"/>
              </w:rPr>
            </w:pPr>
            <w:r w:rsidRPr="005D1193">
              <w:rPr>
                <w:rFonts w:ascii="Times New Roman" w:hAnsi="Times New Roman"/>
                <w:sz w:val="24"/>
                <w:szCs w:val="24"/>
              </w:rPr>
              <w:lastRenderedPageBreak/>
              <w:br w:type="page"/>
            </w:r>
            <w:r w:rsidRPr="005D1193">
              <w:rPr>
                <w:rFonts w:ascii="Times New Roman" w:hAnsi="Times New Roman"/>
                <w:sz w:val="24"/>
                <w:szCs w:val="24"/>
              </w:rPr>
              <w:br w:type="page"/>
            </w:r>
          </w:p>
          <w:p w14:paraId="6A9F1BCB" w14:textId="4F65E6CE" w:rsidR="0079136E" w:rsidRPr="005D1193" w:rsidRDefault="0079136E" w:rsidP="005F41FA">
            <w:pPr>
              <w:tabs>
                <w:tab w:val="left" w:pos="709"/>
              </w:tabs>
              <w:spacing w:after="0"/>
              <w:rPr>
                <w:rFonts w:ascii="Times New Roman" w:hAnsi="Times New Roman"/>
                <w:iCs/>
                <w:sz w:val="24"/>
                <w:szCs w:val="24"/>
              </w:rPr>
            </w:pPr>
            <w:r w:rsidRPr="005D1193">
              <w:rPr>
                <w:rFonts w:ascii="Times New Roman" w:hAnsi="Times New Roman"/>
                <w:iCs/>
                <w:sz w:val="24"/>
                <w:szCs w:val="24"/>
              </w:rPr>
              <w:t>Друга редакція</w:t>
            </w:r>
          </w:p>
        </w:tc>
        <w:tc>
          <w:tcPr>
            <w:tcW w:w="5683" w:type="dxa"/>
          </w:tcPr>
          <w:p w14:paraId="135454B1" w14:textId="77777777" w:rsidR="005F41FA" w:rsidRPr="005D1193" w:rsidRDefault="005F41FA" w:rsidP="005F41FA">
            <w:pPr>
              <w:suppressLineNumbers/>
              <w:tabs>
                <w:tab w:val="left" w:pos="709"/>
              </w:tabs>
              <w:suppressAutoHyphens/>
              <w:spacing w:after="0"/>
              <w:ind w:left="360"/>
              <w:rPr>
                <w:rFonts w:ascii="Times New Roman" w:hAnsi="Times New Roman"/>
                <w:sz w:val="24"/>
                <w:szCs w:val="24"/>
              </w:rPr>
            </w:pPr>
          </w:p>
          <w:p w14:paraId="74FA2691" w14:textId="77777777" w:rsidR="0079136E" w:rsidRPr="005D1193" w:rsidRDefault="0079136E" w:rsidP="005F41FA">
            <w:pPr>
              <w:suppressLineNumbers/>
              <w:tabs>
                <w:tab w:val="left" w:pos="709"/>
              </w:tabs>
              <w:suppressAutoHyphens/>
              <w:spacing w:after="0"/>
              <w:ind w:left="360"/>
              <w:rPr>
                <w:rFonts w:ascii="Times New Roman" w:hAnsi="Times New Roman"/>
                <w:sz w:val="24"/>
                <w:szCs w:val="24"/>
              </w:rPr>
            </w:pPr>
            <w:r w:rsidRPr="005D1193">
              <w:rPr>
                <w:rFonts w:ascii="Times New Roman" w:hAnsi="Times New Roman"/>
                <w:sz w:val="24"/>
                <w:szCs w:val="24"/>
              </w:rPr>
              <w:t>Затверджено</w:t>
            </w:r>
          </w:p>
          <w:p w14:paraId="3BA67120" w14:textId="77777777" w:rsidR="0079136E" w:rsidRPr="005D1193" w:rsidRDefault="0079136E" w:rsidP="005F41FA">
            <w:pPr>
              <w:suppressLineNumbers/>
              <w:tabs>
                <w:tab w:val="left" w:pos="709"/>
              </w:tabs>
              <w:suppressAutoHyphens/>
              <w:spacing w:after="0"/>
              <w:ind w:left="360"/>
              <w:rPr>
                <w:rFonts w:ascii="Times New Roman" w:hAnsi="Times New Roman"/>
                <w:sz w:val="24"/>
                <w:szCs w:val="24"/>
              </w:rPr>
            </w:pPr>
            <w:r w:rsidRPr="005D1193">
              <w:rPr>
                <w:rFonts w:ascii="Times New Roman" w:hAnsi="Times New Roman"/>
                <w:sz w:val="24"/>
                <w:szCs w:val="24"/>
              </w:rPr>
              <w:t xml:space="preserve">Протокол засідання Правління </w:t>
            </w:r>
          </w:p>
          <w:p w14:paraId="7B4EBA8E" w14:textId="77777777" w:rsidR="0079136E" w:rsidRPr="005D1193" w:rsidRDefault="0079136E" w:rsidP="005F41FA">
            <w:pPr>
              <w:suppressLineNumbers/>
              <w:tabs>
                <w:tab w:val="left" w:pos="709"/>
              </w:tabs>
              <w:suppressAutoHyphens/>
              <w:spacing w:after="0"/>
              <w:ind w:left="360"/>
              <w:rPr>
                <w:rFonts w:ascii="Times New Roman" w:hAnsi="Times New Roman"/>
                <w:iCs/>
                <w:sz w:val="24"/>
                <w:szCs w:val="24"/>
              </w:rPr>
            </w:pPr>
            <w:r w:rsidRPr="005D1193">
              <w:rPr>
                <w:rFonts w:ascii="Times New Roman" w:hAnsi="Times New Roman"/>
                <w:sz w:val="24"/>
                <w:szCs w:val="24"/>
              </w:rPr>
              <w:t>19.06.2018 р. №26</w:t>
            </w:r>
          </w:p>
        </w:tc>
      </w:tr>
      <w:tr w:rsidR="00C57CDD" w:rsidRPr="005D1193" w14:paraId="03AAE165" w14:textId="77777777" w:rsidTr="005F41FA">
        <w:tc>
          <w:tcPr>
            <w:tcW w:w="4219" w:type="dxa"/>
          </w:tcPr>
          <w:p w14:paraId="028953B7" w14:textId="77777777" w:rsidR="00C57CDD" w:rsidRDefault="00C57CDD" w:rsidP="005F41FA">
            <w:pPr>
              <w:tabs>
                <w:tab w:val="left" w:pos="709"/>
              </w:tabs>
              <w:spacing w:after="0"/>
              <w:rPr>
                <w:rFonts w:ascii="Times New Roman" w:hAnsi="Times New Roman"/>
                <w:sz w:val="24"/>
                <w:szCs w:val="24"/>
              </w:rPr>
            </w:pPr>
          </w:p>
          <w:p w14:paraId="36E5E92C" w14:textId="652CCB8A" w:rsidR="00C57CDD" w:rsidRPr="005D1193" w:rsidRDefault="00C57CDD" w:rsidP="005F41FA">
            <w:pPr>
              <w:tabs>
                <w:tab w:val="left" w:pos="709"/>
              </w:tabs>
              <w:spacing w:after="0"/>
              <w:rPr>
                <w:rFonts w:ascii="Times New Roman" w:hAnsi="Times New Roman"/>
                <w:sz w:val="24"/>
                <w:szCs w:val="24"/>
              </w:rPr>
            </w:pPr>
            <w:r>
              <w:rPr>
                <w:rFonts w:ascii="Times New Roman" w:hAnsi="Times New Roman"/>
                <w:sz w:val="24"/>
                <w:szCs w:val="24"/>
              </w:rPr>
              <w:t xml:space="preserve">Третя </w:t>
            </w:r>
            <w:r w:rsidRPr="005D1193">
              <w:rPr>
                <w:rFonts w:ascii="Times New Roman" w:hAnsi="Times New Roman"/>
                <w:iCs/>
                <w:sz w:val="24"/>
                <w:szCs w:val="24"/>
              </w:rPr>
              <w:t>редакція</w:t>
            </w:r>
          </w:p>
        </w:tc>
        <w:tc>
          <w:tcPr>
            <w:tcW w:w="5683" w:type="dxa"/>
          </w:tcPr>
          <w:p w14:paraId="695D3A24" w14:textId="77777777" w:rsidR="00C57CDD" w:rsidRDefault="00C57CDD" w:rsidP="00C57CDD">
            <w:pPr>
              <w:suppressLineNumbers/>
              <w:tabs>
                <w:tab w:val="left" w:pos="709"/>
              </w:tabs>
              <w:suppressAutoHyphens/>
              <w:spacing w:after="0"/>
              <w:ind w:left="360"/>
              <w:rPr>
                <w:rFonts w:ascii="Times New Roman" w:hAnsi="Times New Roman"/>
                <w:sz w:val="24"/>
                <w:szCs w:val="24"/>
              </w:rPr>
            </w:pPr>
          </w:p>
          <w:p w14:paraId="25132D11" w14:textId="77777777" w:rsidR="00C57CDD" w:rsidRPr="005D1193" w:rsidRDefault="00C57CDD" w:rsidP="00C57CDD">
            <w:pPr>
              <w:suppressLineNumbers/>
              <w:tabs>
                <w:tab w:val="left" w:pos="709"/>
              </w:tabs>
              <w:suppressAutoHyphens/>
              <w:spacing w:after="0"/>
              <w:ind w:left="360"/>
              <w:rPr>
                <w:rFonts w:ascii="Times New Roman" w:hAnsi="Times New Roman"/>
                <w:sz w:val="24"/>
                <w:szCs w:val="24"/>
              </w:rPr>
            </w:pPr>
            <w:r w:rsidRPr="005D1193">
              <w:rPr>
                <w:rFonts w:ascii="Times New Roman" w:hAnsi="Times New Roman"/>
                <w:sz w:val="24"/>
                <w:szCs w:val="24"/>
              </w:rPr>
              <w:t>Затверджено</w:t>
            </w:r>
          </w:p>
          <w:p w14:paraId="6BB4A22A" w14:textId="77777777" w:rsidR="00C57CDD" w:rsidRPr="005D1193" w:rsidRDefault="00C57CDD" w:rsidP="00C57CDD">
            <w:pPr>
              <w:suppressLineNumbers/>
              <w:tabs>
                <w:tab w:val="left" w:pos="709"/>
              </w:tabs>
              <w:suppressAutoHyphens/>
              <w:spacing w:after="0"/>
              <w:ind w:left="360"/>
              <w:rPr>
                <w:rFonts w:ascii="Times New Roman" w:hAnsi="Times New Roman"/>
                <w:sz w:val="24"/>
                <w:szCs w:val="24"/>
              </w:rPr>
            </w:pPr>
            <w:r w:rsidRPr="005D1193">
              <w:rPr>
                <w:rFonts w:ascii="Times New Roman" w:hAnsi="Times New Roman"/>
                <w:sz w:val="24"/>
                <w:szCs w:val="24"/>
              </w:rPr>
              <w:t xml:space="preserve">Протокол засідання Правління </w:t>
            </w:r>
          </w:p>
          <w:p w14:paraId="2D2F1E51" w14:textId="256F3887" w:rsidR="00C57CDD" w:rsidRPr="005D1193" w:rsidRDefault="00C57CDD" w:rsidP="00C57CDD">
            <w:pPr>
              <w:suppressLineNumbers/>
              <w:tabs>
                <w:tab w:val="left" w:pos="709"/>
              </w:tabs>
              <w:suppressAutoHyphens/>
              <w:spacing w:after="0"/>
              <w:ind w:left="360"/>
              <w:rPr>
                <w:rFonts w:ascii="Times New Roman" w:hAnsi="Times New Roman"/>
                <w:sz w:val="24"/>
                <w:szCs w:val="24"/>
              </w:rPr>
            </w:pPr>
            <w:r w:rsidRPr="00C57CDD">
              <w:rPr>
                <w:rFonts w:ascii="Times New Roman" w:hAnsi="Times New Roman"/>
                <w:sz w:val="24"/>
                <w:szCs w:val="24"/>
              </w:rPr>
              <w:t>12.11.2020 р. №60</w:t>
            </w:r>
          </w:p>
        </w:tc>
      </w:tr>
    </w:tbl>
    <w:p w14:paraId="3FDE33A6" w14:textId="77777777" w:rsidR="0079136E" w:rsidRPr="005D1193" w:rsidRDefault="0079136E" w:rsidP="0079136E">
      <w:pPr>
        <w:rPr>
          <w:sz w:val="24"/>
          <w:szCs w:val="24"/>
        </w:rPr>
      </w:pPr>
    </w:p>
    <w:sectPr w:rsidR="0079136E" w:rsidRPr="005D1193" w:rsidSect="00032945">
      <w:footerReference w:type="default" r:id="rId10"/>
      <w:pgSz w:w="11907" w:h="16443" w:code="1"/>
      <w:pgMar w:top="567" w:right="567" w:bottom="567" w:left="851"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15194" w14:textId="77777777" w:rsidR="00BC2E58" w:rsidRDefault="00BC2E58">
      <w:pPr>
        <w:spacing w:after="0" w:line="240" w:lineRule="auto"/>
      </w:pPr>
      <w:r>
        <w:separator/>
      </w:r>
    </w:p>
  </w:endnote>
  <w:endnote w:type="continuationSeparator" w:id="0">
    <w:p w14:paraId="670F1D3E" w14:textId="77777777" w:rsidR="00BC2E58" w:rsidRDefault="00BC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2E394" w14:textId="69717DB4" w:rsidR="0065596A" w:rsidRPr="007E21A8" w:rsidRDefault="0065596A">
    <w:pPr>
      <w:pStyle w:val="a9"/>
      <w:jc w:val="right"/>
      <w:rPr>
        <w:rFonts w:ascii="Times New Roman" w:hAnsi="Times New Roman"/>
        <w:sz w:val="24"/>
        <w:szCs w:val="24"/>
      </w:rPr>
    </w:pPr>
    <w:r w:rsidRPr="007E21A8">
      <w:rPr>
        <w:rFonts w:ascii="Times New Roman" w:hAnsi="Times New Roman"/>
        <w:sz w:val="24"/>
        <w:szCs w:val="24"/>
      </w:rPr>
      <w:fldChar w:fldCharType="begin"/>
    </w:r>
    <w:r w:rsidRPr="007E21A8">
      <w:rPr>
        <w:rFonts w:ascii="Times New Roman" w:hAnsi="Times New Roman"/>
        <w:sz w:val="24"/>
        <w:szCs w:val="24"/>
      </w:rPr>
      <w:instrText>PAGE   \* MERGEFORMAT</w:instrText>
    </w:r>
    <w:r w:rsidRPr="007E21A8">
      <w:rPr>
        <w:rFonts w:ascii="Times New Roman" w:hAnsi="Times New Roman"/>
        <w:sz w:val="24"/>
        <w:szCs w:val="24"/>
      </w:rPr>
      <w:fldChar w:fldCharType="separate"/>
    </w:r>
    <w:r w:rsidR="00032945" w:rsidRPr="00032945">
      <w:rPr>
        <w:rFonts w:ascii="Times New Roman" w:hAnsi="Times New Roman"/>
        <w:noProof/>
        <w:sz w:val="24"/>
        <w:szCs w:val="24"/>
        <w:lang w:val="ru-RU"/>
      </w:rPr>
      <w:t>12</w:t>
    </w:r>
    <w:r w:rsidRPr="007E21A8">
      <w:rPr>
        <w:rFonts w:ascii="Times New Roman" w:hAnsi="Times New Roman"/>
        <w:sz w:val="24"/>
        <w:szCs w:val="24"/>
      </w:rPr>
      <w:fldChar w:fldCharType="end"/>
    </w:r>
  </w:p>
  <w:p w14:paraId="27F15FBC" w14:textId="77777777" w:rsidR="0065596A" w:rsidRPr="00D07BB5" w:rsidRDefault="006559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62C67" w14:textId="77777777" w:rsidR="00BC2E58" w:rsidRDefault="00BC2E58">
      <w:pPr>
        <w:spacing w:after="0" w:line="240" w:lineRule="auto"/>
      </w:pPr>
      <w:r>
        <w:separator/>
      </w:r>
    </w:p>
  </w:footnote>
  <w:footnote w:type="continuationSeparator" w:id="0">
    <w:p w14:paraId="2B322804" w14:textId="77777777" w:rsidR="00BC2E58" w:rsidRDefault="00BC2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908"/>
    <w:multiLevelType w:val="hybridMultilevel"/>
    <w:tmpl w:val="69E2720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FFF560D"/>
    <w:multiLevelType w:val="hybridMultilevel"/>
    <w:tmpl w:val="026C21F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10C3502"/>
    <w:multiLevelType w:val="hybridMultilevel"/>
    <w:tmpl w:val="67742332"/>
    <w:lvl w:ilvl="0" w:tplc="676E66F2">
      <w:start w:val="1"/>
      <w:numFmt w:val="decimal"/>
      <w:lvlText w:val="(%1)"/>
      <w:lvlJc w:val="left"/>
      <w:pPr>
        <w:ind w:left="1789" w:hanging="1080"/>
      </w:pPr>
      <w:rPr>
        <w:rFonts w:hint="default"/>
      </w:rPr>
    </w:lvl>
    <w:lvl w:ilvl="1" w:tplc="AF40BC6A">
      <w:start w:val="1"/>
      <w:numFmt w:val="decimal"/>
      <w:lvlText w:val="(%2)"/>
      <w:lvlJc w:val="left"/>
      <w:pPr>
        <w:ind w:left="3334" w:hanging="1905"/>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11AE685A"/>
    <w:multiLevelType w:val="hybridMultilevel"/>
    <w:tmpl w:val="12DE38AE"/>
    <w:lvl w:ilvl="0" w:tplc="04190001">
      <w:start w:val="1"/>
      <w:numFmt w:val="bullet"/>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4">
    <w:nsid w:val="26DB6B69"/>
    <w:multiLevelType w:val="hybridMultilevel"/>
    <w:tmpl w:val="B82846F0"/>
    <w:lvl w:ilvl="0" w:tplc="EA66F9D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85D28A9"/>
    <w:multiLevelType w:val="hybridMultilevel"/>
    <w:tmpl w:val="EF30C9BE"/>
    <w:lvl w:ilvl="0" w:tplc="6AEECE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DE1435"/>
    <w:multiLevelType w:val="multilevel"/>
    <w:tmpl w:val="CD2E19A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7">
    <w:nsid w:val="2924793A"/>
    <w:multiLevelType w:val="hybridMultilevel"/>
    <w:tmpl w:val="DABCDDF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B4D552E"/>
    <w:multiLevelType w:val="multilevel"/>
    <w:tmpl w:val="2404FC8A"/>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2D4567A4"/>
    <w:multiLevelType w:val="hybridMultilevel"/>
    <w:tmpl w:val="786E7626"/>
    <w:lvl w:ilvl="0" w:tplc="08806D16">
      <w:start w:val="1"/>
      <w:numFmt w:val="bullet"/>
      <w:lvlText w:val="-"/>
      <w:lvlJc w:val="left"/>
      <w:pPr>
        <w:ind w:left="927" w:hanging="360"/>
      </w:pPr>
      <w:rPr>
        <w:rFonts w:ascii="Arial" w:eastAsiaTheme="minorHAnsi"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331905D8"/>
    <w:multiLevelType w:val="hybridMultilevel"/>
    <w:tmpl w:val="BDA01FD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34A6161"/>
    <w:multiLevelType w:val="multilevel"/>
    <w:tmpl w:val="8320DAA8"/>
    <w:lvl w:ilvl="0">
      <w:start w:val="1"/>
      <w:numFmt w:val="decimal"/>
      <w:lvlText w:val="%1."/>
      <w:lvlJc w:val="left"/>
      <w:pPr>
        <w:ind w:left="2678" w:hanging="1260"/>
      </w:pPr>
    </w:lvl>
    <w:lvl w:ilvl="1">
      <w:start w:val="1"/>
      <w:numFmt w:val="decimal"/>
      <w:lvlText w:val="%1.%2."/>
      <w:lvlJc w:val="left"/>
      <w:pPr>
        <w:ind w:left="2537" w:hanging="1260"/>
      </w:pPr>
      <w:rPr>
        <w:rFonts w:ascii="Times New Roman" w:hAnsi="Times New Roman" w:cs="Times New Roman" w:hint="default"/>
        <w:sz w:val="24"/>
        <w:szCs w:val="24"/>
      </w:rPr>
    </w:lvl>
    <w:lvl w:ilvl="2">
      <w:start w:val="1"/>
      <w:numFmt w:val="decimal"/>
      <w:lvlText w:val="%1.%2.%3."/>
      <w:lvlJc w:val="left"/>
      <w:pPr>
        <w:ind w:left="1970" w:hanging="1260"/>
      </w:pPr>
      <w:rPr>
        <w:rFonts w:ascii="Times New Roman" w:hAnsi="Times New Roman" w:cs="Times New Roman" w:hint="default"/>
        <w:sz w:val="24"/>
        <w:szCs w:val="24"/>
      </w:rPr>
    </w:lvl>
    <w:lvl w:ilvl="3">
      <w:start w:val="1"/>
      <w:numFmt w:val="decimal"/>
      <w:lvlText w:val="%1.%2.%3.%4."/>
      <w:lvlJc w:val="left"/>
      <w:pPr>
        <w:ind w:left="3387" w:hanging="1260"/>
      </w:pPr>
      <w:rPr>
        <w:rFonts w:ascii="Times New Roman" w:hAnsi="Times New Roman" w:cs="Times New Roman" w:hint="default"/>
        <w:sz w:val="24"/>
        <w:szCs w:val="24"/>
      </w:r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nsid w:val="34845963"/>
    <w:multiLevelType w:val="hybridMultilevel"/>
    <w:tmpl w:val="28CC77FC"/>
    <w:lvl w:ilvl="0" w:tplc="945ABD0C">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35F41FF8"/>
    <w:multiLevelType w:val="hybridMultilevel"/>
    <w:tmpl w:val="56D2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A4746"/>
    <w:multiLevelType w:val="multilevel"/>
    <w:tmpl w:val="83E66EB4"/>
    <w:lvl w:ilvl="0">
      <w:start w:val="1"/>
      <w:numFmt w:val="upperRoman"/>
      <w:pStyle w:val="Title1"/>
      <w:lvlText w:val="РАЗДЕЛ %1."/>
      <w:lvlJc w:val="left"/>
      <w:pPr>
        <w:tabs>
          <w:tab w:val="num" w:pos="4112"/>
        </w:tabs>
        <w:ind w:left="4112" w:hanging="1418"/>
      </w:pPr>
      <w:rPr>
        <w:rFonts w:hint="default"/>
      </w:rPr>
    </w:lvl>
    <w:lvl w:ilvl="1">
      <w:start w:val="1"/>
      <w:numFmt w:val="upperRoman"/>
      <w:pStyle w:val="Title2"/>
      <w:lvlText w:val="ПОДРАЗДЕЛ %1-%2."/>
      <w:lvlJc w:val="left"/>
      <w:pPr>
        <w:tabs>
          <w:tab w:val="num" w:pos="2552"/>
        </w:tabs>
        <w:ind w:left="2552" w:hanging="1985"/>
      </w:pPr>
      <w:rPr>
        <w:rFonts w:hint="default"/>
      </w:rPr>
    </w:lvl>
    <w:lvl w:ilvl="2">
      <w:start w:val="1"/>
      <w:numFmt w:val="decimal"/>
      <w:lvlRestart w:val="0"/>
      <w:pStyle w:val="Title3"/>
      <w:lvlText w:val="Статья %3."/>
      <w:lvlJc w:val="left"/>
      <w:pPr>
        <w:tabs>
          <w:tab w:val="num" w:pos="3829"/>
        </w:tabs>
        <w:ind w:left="3829" w:hanging="1418"/>
      </w:pPr>
      <w:rPr>
        <w:rFonts w:hint="default"/>
      </w:rPr>
    </w:lvl>
    <w:lvl w:ilvl="3">
      <w:start w:val="1"/>
      <w:numFmt w:val="decimal"/>
      <w:pStyle w:val="Point"/>
      <w:lvlText w:val="%3.%4."/>
      <w:lvlJc w:val="left"/>
      <w:pPr>
        <w:tabs>
          <w:tab w:val="num" w:pos="7939"/>
        </w:tabs>
        <w:ind w:left="7939" w:hanging="851"/>
      </w:pPr>
      <w:rPr>
        <w:rFonts w:hint="default"/>
      </w:rPr>
    </w:lvl>
    <w:lvl w:ilvl="4">
      <w:start w:val="1"/>
      <w:numFmt w:val="decimal"/>
      <w:pStyle w:val="Point2"/>
      <w:lvlText w:val="%3.%4.%5."/>
      <w:lvlJc w:val="left"/>
      <w:pPr>
        <w:tabs>
          <w:tab w:val="num" w:pos="1418"/>
        </w:tabs>
        <w:ind w:left="1418" w:hanging="851"/>
      </w:pPr>
      <w:rPr>
        <w:rFonts w:hint="default"/>
      </w:rPr>
    </w:lvl>
    <w:lvl w:ilvl="5">
      <w:start w:val="1"/>
      <w:numFmt w:val="decimal"/>
      <w:pStyle w:val="Point3"/>
      <w:lvlText w:val="%3.%4.%5.%6."/>
      <w:lvlJc w:val="left"/>
      <w:pPr>
        <w:tabs>
          <w:tab w:val="num" w:pos="1418"/>
        </w:tabs>
        <w:ind w:left="1418" w:hanging="851"/>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5">
    <w:nsid w:val="3A116BBF"/>
    <w:multiLevelType w:val="multilevel"/>
    <w:tmpl w:val="A80E98D2"/>
    <w:lvl w:ilvl="0">
      <w:start w:val="1"/>
      <w:numFmt w:val="decimal"/>
      <w:pStyle w:val="a"/>
      <w:lvlText w:val="%1."/>
      <w:lvlJc w:val="left"/>
      <w:pPr>
        <w:tabs>
          <w:tab w:val="num" w:pos="284"/>
        </w:tabs>
        <w:ind w:left="284" w:hanging="284"/>
      </w:pPr>
      <w:rPr>
        <w:rFonts w:hint="default"/>
      </w:rPr>
    </w:lvl>
    <w:lvl w:ilvl="1">
      <w:start w:val="1"/>
      <w:numFmt w:val="decimal"/>
      <w:pStyle w:val="a0"/>
      <w:lvlText w:val="%1.%2."/>
      <w:lvlJc w:val="left"/>
      <w:pPr>
        <w:tabs>
          <w:tab w:val="num" w:pos="851"/>
        </w:tabs>
        <w:ind w:left="851" w:hanging="567"/>
      </w:pPr>
      <w:rPr>
        <w:rFonts w:hint="default"/>
      </w:rPr>
    </w:lvl>
    <w:lvl w:ilvl="2">
      <w:start w:val="1"/>
      <w:numFmt w:val="decimal"/>
      <w:pStyle w:val="1"/>
      <w:lvlText w:val="%1.%2.%3."/>
      <w:lvlJc w:val="left"/>
      <w:pPr>
        <w:tabs>
          <w:tab w:val="num" w:pos="1418"/>
        </w:tabs>
        <w:ind w:left="1418" w:hanging="567"/>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16">
    <w:nsid w:val="3B9B6F33"/>
    <w:multiLevelType w:val="hybridMultilevel"/>
    <w:tmpl w:val="9264A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484E92"/>
    <w:multiLevelType w:val="hybridMultilevel"/>
    <w:tmpl w:val="E3782F8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nsid w:val="3D32652B"/>
    <w:multiLevelType w:val="hybridMultilevel"/>
    <w:tmpl w:val="C75EFCA0"/>
    <w:lvl w:ilvl="0" w:tplc="0422000F">
      <w:start w:val="1"/>
      <w:numFmt w:val="decimal"/>
      <w:lvlText w:val="%1."/>
      <w:lvlJc w:val="left"/>
      <w:pPr>
        <w:ind w:left="1429" w:hanging="360"/>
      </w:p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9">
    <w:nsid w:val="3DC90ED7"/>
    <w:multiLevelType w:val="hybridMultilevel"/>
    <w:tmpl w:val="E7A89952"/>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0">
    <w:nsid w:val="3E4D3DC2"/>
    <w:multiLevelType w:val="hybridMultilevel"/>
    <w:tmpl w:val="B48E53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E546D4F"/>
    <w:multiLevelType w:val="hybridMultilevel"/>
    <w:tmpl w:val="94C259CA"/>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2">
    <w:nsid w:val="43BA06DF"/>
    <w:multiLevelType w:val="hybridMultilevel"/>
    <w:tmpl w:val="66227FA4"/>
    <w:lvl w:ilvl="0" w:tplc="1BCE1752">
      <w:start w:val="1"/>
      <w:numFmt w:val="decimal"/>
      <w:lvlText w:val="%1)"/>
      <w:lvlJc w:val="left"/>
      <w:pPr>
        <w:ind w:left="1429" w:hanging="360"/>
      </w:pPr>
      <w:rPr>
        <w:rFonts w:ascii="Times New Roman" w:eastAsia="TimesNewRoman"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C6E4B5F"/>
    <w:multiLevelType w:val="multilevel"/>
    <w:tmpl w:val="63F4199E"/>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4CF06770"/>
    <w:multiLevelType w:val="hybridMultilevel"/>
    <w:tmpl w:val="207E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7001F2"/>
    <w:multiLevelType w:val="hybridMultilevel"/>
    <w:tmpl w:val="40FC8EB2"/>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8115D9"/>
    <w:multiLevelType w:val="hybridMultilevel"/>
    <w:tmpl w:val="80FCB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EBA0C25"/>
    <w:multiLevelType w:val="hybridMultilevel"/>
    <w:tmpl w:val="51BABFA4"/>
    <w:lvl w:ilvl="0" w:tplc="04220001">
      <w:start w:val="1"/>
      <w:numFmt w:val="bullet"/>
      <w:lvlText w:val=""/>
      <w:lvlJc w:val="left"/>
      <w:pPr>
        <w:ind w:left="1423" w:hanging="360"/>
      </w:pPr>
      <w:rPr>
        <w:rFonts w:ascii="Symbol" w:hAnsi="Symbol" w:hint="default"/>
      </w:rPr>
    </w:lvl>
    <w:lvl w:ilvl="1" w:tplc="04220003" w:tentative="1">
      <w:start w:val="1"/>
      <w:numFmt w:val="bullet"/>
      <w:lvlText w:val="o"/>
      <w:lvlJc w:val="left"/>
      <w:pPr>
        <w:ind w:left="2143" w:hanging="360"/>
      </w:pPr>
      <w:rPr>
        <w:rFonts w:ascii="Courier New" w:hAnsi="Courier New" w:cs="Courier New" w:hint="default"/>
      </w:rPr>
    </w:lvl>
    <w:lvl w:ilvl="2" w:tplc="04220005" w:tentative="1">
      <w:start w:val="1"/>
      <w:numFmt w:val="bullet"/>
      <w:lvlText w:val=""/>
      <w:lvlJc w:val="left"/>
      <w:pPr>
        <w:ind w:left="2863" w:hanging="360"/>
      </w:pPr>
      <w:rPr>
        <w:rFonts w:ascii="Wingdings" w:hAnsi="Wingdings" w:hint="default"/>
      </w:rPr>
    </w:lvl>
    <w:lvl w:ilvl="3" w:tplc="04220001" w:tentative="1">
      <w:start w:val="1"/>
      <w:numFmt w:val="bullet"/>
      <w:lvlText w:val=""/>
      <w:lvlJc w:val="left"/>
      <w:pPr>
        <w:ind w:left="3583" w:hanging="360"/>
      </w:pPr>
      <w:rPr>
        <w:rFonts w:ascii="Symbol" w:hAnsi="Symbol" w:hint="default"/>
      </w:rPr>
    </w:lvl>
    <w:lvl w:ilvl="4" w:tplc="04220003" w:tentative="1">
      <w:start w:val="1"/>
      <w:numFmt w:val="bullet"/>
      <w:lvlText w:val="o"/>
      <w:lvlJc w:val="left"/>
      <w:pPr>
        <w:ind w:left="4303" w:hanging="360"/>
      </w:pPr>
      <w:rPr>
        <w:rFonts w:ascii="Courier New" w:hAnsi="Courier New" w:cs="Courier New" w:hint="default"/>
      </w:rPr>
    </w:lvl>
    <w:lvl w:ilvl="5" w:tplc="04220005" w:tentative="1">
      <w:start w:val="1"/>
      <w:numFmt w:val="bullet"/>
      <w:lvlText w:val=""/>
      <w:lvlJc w:val="left"/>
      <w:pPr>
        <w:ind w:left="5023" w:hanging="360"/>
      </w:pPr>
      <w:rPr>
        <w:rFonts w:ascii="Wingdings" w:hAnsi="Wingdings" w:hint="default"/>
      </w:rPr>
    </w:lvl>
    <w:lvl w:ilvl="6" w:tplc="04220001" w:tentative="1">
      <w:start w:val="1"/>
      <w:numFmt w:val="bullet"/>
      <w:lvlText w:val=""/>
      <w:lvlJc w:val="left"/>
      <w:pPr>
        <w:ind w:left="5743" w:hanging="360"/>
      </w:pPr>
      <w:rPr>
        <w:rFonts w:ascii="Symbol" w:hAnsi="Symbol" w:hint="default"/>
      </w:rPr>
    </w:lvl>
    <w:lvl w:ilvl="7" w:tplc="04220003" w:tentative="1">
      <w:start w:val="1"/>
      <w:numFmt w:val="bullet"/>
      <w:lvlText w:val="o"/>
      <w:lvlJc w:val="left"/>
      <w:pPr>
        <w:ind w:left="6463" w:hanging="360"/>
      </w:pPr>
      <w:rPr>
        <w:rFonts w:ascii="Courier New" w:hAnsi="Courier New" w:cs="Courier New" w:hint="default"/>
      </w:rPr>
    </w:lvl>
    <w:lvl w:ilvl="8" w:tplc="04220005" w:tentative="1">
      <w:start w:val="1"/>
      <w:numFmt w:val="bullet"/>
      <w:lvlText w:val=""/>
      <w:lvlJc w:val="left"/>
      <w:pPr>
        <w:ind w:left="7183" w:hanging="360"/>
      </w:pPr>
      <w:rPr>
        <w:rFonts w:ascii="Wingdings" w:hAnsi="Wingdings" w:hint="default"/>
      </w:rPr>
    </w:lvl>
  </w:abstractNum>
  <w:abstractNum w:abstractNumId="28">
    <w:nsid w:val="4F1805DE"/>
    <w:multiLevelType w:val="hybridMultilevel"/>
    <w:tmpl w:val="97A2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5B1C90"/>
    <w:multiLevelType w:val="hybridMultilevel"/>
    <w:tmpl w:val="ED2E9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C90F2F"/>
    <w:multiLevelType w:val="hybridMultilevel"/>
    <w:tmpl w:val="4268E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5A035F"/>
    <w:multiLevelType w:val="hybridMultilevel"/>
    <w:tmpl w:val="1376D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A93E69"/>
    <w:multiLevelType w:val="hybridMultilevel"/>
    <w:tmpl w:val="93E688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7E664F6"/>
    <w:multiLevelType w:val="hybridMultilevel"/>
    <w:tmpl w:val="774E74D6"/>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4">
    <w:nsid w:val="5ABD59BD"/>
    <w:multiLevelType w:val="hybridMultilevel"/>
    <w:tmpl w:val="EEE8B99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5">
    <w:nsid w:val="5F174F6C"/>
    <w:multiLevelType w:val="hybridMultilevel"/>
    <w:tmpl w:val="6D28262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61C502FA"/>
    <w:multiLevelType w:val="hybridMultilevel"/>
    <w:tmpl w:val="CCF44BF6"/>
    <w:lvl w:ilvl="0" w:tplc="04190001">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37">
    <w:nsid w:val="623C7295"/>
    <w:multiLevelType w:val="hybridMultilevel"/>
    <w:tmpl w:val="0228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6D4BEF"/>
    <w:multiLevelType w:val="hybridMultilevel"/>
    <w:tmpl w:val="56CC3D36"/>
    <w:lvl w:ilvl="0" w:tplc="04220001">
      <w:start w:val="1"/>
      <w:numFmt w:val="bullet"/>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9">
    <w:nsid w:val="66CB3E82"/>
    <w:multiLevelType w:val="hybridMultilevel"/>
    <w:tmpl w:val="6A84B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A7274C1"/>
    <w:multiLevelType w:val="hybridMultilevel"/>
    <w:tmpl w:val="CB62F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B62673D"/>
    <w:multiLevelType w:val="hybridMultilevel"/>
    <w:tmpl w:val="C2829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61017C"/>
    <w:multiLevelType w:val="hybridMultilevel"/>
    <w:tmpl w:val="4AF64C66"/>
    <w:lvl w:ilvl="0" w:tplc="04190001">
      <w:start w:val="1"/>
      <w:numFmt w:val="bullet"/>
      <w:lvlText w:val=""/>
      <w:lvlJc w:val="left"/>
      <w:pPr>
        <w:ind w:left="2705" w:hanging="360"/>
      </w:pPr>
      <w:rPr>
        <w:rFonts w:ascii="Symbol" w:hAnsi="Symbol" w:hint="default"/>
      </w:rPr>
    </w:lvl>
    <w:lvl w:ilvl="1" w:tplc="04220003">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43">
    <w:nsid w:val="6E795855"/>
    <w:multiLevelType w:val="hybridMultilevel"/>
    <w:tmpl w:val="EAD2004C"/>
    <w:lvl w:ilvl="0" w:tplc="04090001">
      <w:start w:val="1"/>
      <w:numFmt w:val="bullet"/>
      <w:lvlText w:val=""/>
      <w:lvlJc w:val="left"/>
      <w:pPr>
        <w:ind w:left="2133" w:hanging="360"/>
      </w:pPr>
      <w:rPr>
        <w:rFonts w:ascii="Symbol" w:hAnsi="Symbol"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44">
    <w:nsid w:val="700B1C90"/>
    <w:multiLevelType w:val="hybridMultilevel"/>
    <w:tmpl w:val="2E46B36A"/>
    <w:lvl w:ilvl="0" w:tplc="3FEE1D3E">
      <w:start w:val="3"/>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5">
    <w:nsid w:val="7404011C"/>
    <w:multiLevelType w:val="hybridMultilevel"/>
    <w:tmpl w:val="7CB4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843367"/>
    <w:multiLevelType w:val="hybridMultilevel"/>
    <w:tmpl w:val="6DE2D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65456DC"/>
    <w:multiLevelType w:val="hybridMultilevel"/>
    <w:tmpl w:val="D7FC6B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9702352"/>
    <w:multiLevelType w:val="hybridMultilevel"/>
    <w:tmpl w:val="0D944FDE"/>
    <w:lvl w:ilvl="0" w:tplc="C28031C8">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9">
    <w:nsid w:val="79CE390E"/>
    <w:multiLevelType w:val="hybridMultilevel"/>
    <w:tmpl w:val="0E0089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3"/>
  </w:num>
  <w:num w:numId="3">
    <w:abstractNumId w:val="41"/>
  </w:num>
  <w:num w:numId="4">
    <w:abstractNumId w:val="19"/>
  </w:num>
  <w:num w:numId="5">
    <w:abstractNumId w:val="40"/>
  </w:num>
  <w:num w:numId="6">
    <w:abstractNumId w:val="30"/>
  </w:num>
  <w:num w:numId="7">
    <w:abstractNumId w:val="21"/>
  </w:num>
  <w:num w:numId="8">
    <w:abstractNumId w:val="10"/>
  </w:num>
  <w:num w:numId="9">
    <w:abstractNumId w:val="24"/>
  </w:num>
  <w:num w:numId="10">
    <w:abstractNumId w:val="46"/>
  </w:num>
  <w:num w:numId="11">
    <w:abstractNumId w:val="26"/>
  </w:num>
  <w:num w:numId="12">
    <w:abstractNumId w:val="0"/>
  </w:num>
  <w:num w:numId="13">
    <w:abstractNumId w:val="28"/>
  </w:num>
  <w:num w:numId="14">
    <w:abstractNumId w:val="35"/>
  </w:num>
  <w:num w:numId="15">
    <w:abstractNumId w:val="4"/>
  </w:num>
  <w:num w:numId="16">
    <w:abstractNumId w:val="7"/>
  </w:num>
  <w:num w:numId="17">
    <w:abstractNumId w:val="2"/>
  </w:num>
  <w:num w:numId="18">
    <w:abstractNumId w:val="27"/>
  </w:num>
  <w:num w:numId="19">
    <w:abstractNumId w:val="42"/>
  </w:num>
  <w:num w:numId="20">
    <w:abstractNumId w:val="38"/>
  </w:num>
  <w:num w:numId="21">
    <w:abstractNumId w:val="49"/>
  </w:num>
  <w:num w:numId="22">
    <w:abstractNumId w:val="47"/>
  </w:num>
  <w:num w:numId="23">
    <w:abstractNumId w:val="36"/>
  </w:num>
  <w:num w:numId="24">
    <w:abstractNumId w:val="16"/>
  </w:num>
  <w:num w:numId="25">
    <w:abstractNumId w:val="39"/>
  </w:num>
  <w:num w:numId="26">
    <w:abstractNumId w:val="31"/>
  </w:num>
  <w:num w:numId="27">
    <w:abstractNumId w:val="17"/>
  </w:num>
  <w:num w:numId="28">
    <w:abstractNumId w:val="3"/>
  </w:num>
  <w:num w:numId="29">
    <w:abstractNumId w:val="5"/>
  </w:num>
  <w:num w:numId="30">
    <w:abstractNumId w:val="43"/>
  </w:num>
  <w:num w:numId="31">
    <w:abstractNumId w:val="22"/>
  </w:num>
  <w:num w:numId="32">
    <w:abstractNumId w:val="1"/>
  </w:num>
  <w:num w:numId="33">
    <w:abstractNumId w:val="6"/>
  </w:num>
  <w:num w:numId="34">
    <w:abstractNumId w:val="44"/>
  </w:num>
  <w:num w:numId="35">
    <w:abstractNumId w:val="11"/>
  </w:num>
  <w:num w:numId="36">
    <w:abstractNumId w:val="8"/>
  </w:num>
  <w:num w:numId="37">
    <w:abstractNumId w:val="14"/>
  </w:num>
  <w:num w:numId="38">
    <w:abstractNumId w:val="15"/>
  </w:num>
  <w:num w:numId="39">
    <w:abstractNumId w:val="29"/>
  </w:num>
  <w:num w:numId="40">
    <w:abstractNumId w:val="45"/>
  </w:num>
  <w:num w:numId="41">
    <w:abstractNumId w:val="37"/>
  </w:num>
  <w:num w:numId="42">
    <w:abstractNumId w:val="34"/>
  </w:num>
  <w:num w:numId="43">
    <w:abstractNumId w:val="13"/>
  </w:num>
  <w:num w:numId="44">
    <w:abstractNumId w:val="48"/>
  </w:num>
  <w:num w:numId="45">
    <w:abstractNumId w:val="20"/>
  </w:num>
  <w:num w:numId="46">
    <w:abstractNumId w:val="23"/>
  </w:num>
  <w:num w:numId="47">
    <w:abstractNumId w:val="25"/>
  </w:num>
  <w:num w:numId="48">
    <w:abstractNumId w:val="12"/>
  </w:num>
  <w:num w:numId="49">
    <w:abstractNumId w:val="18"/>
    <w:lvlOverride w:ilvl="0">
      <w:startOverride w:val="1"/>
    </w:lvlOverride>
    <w:lvlOverride w:ilvl="1"/>
    <w:lvlOverride w:ilvl="2"/>
    <w:lvlOverride w:ilvl="3"/>
    <w:lvlOverride w:ilvl="4"/>
    <w:lvlOverride w:ilvl="5"/>
    <w:lvlOverride w:ilvl="6"/>
    <w:lvlOverride w:ilvl="7"/>
    <w:lvlOverride w:ilvl="8"/>
  </w:num>
  <w:num w:numId="5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місаров Євген Анатолійович">
    <w15:presenceInfo w15:providerId="Windows Live" w15:userId="b025ba8ab97d02d0"/>
  </w15:person>
  <w15:person w15:author="Гнатюк Ірина Володимирівна">
    <w15:presenceInfo w15:providerId="AD" w15:userId="S-1-5-21-820290253-1531545695-3383170524-1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44"/>
    <w:rsid w:val="00001FD6"/>
    <w:rsid w:val="0000301E"/>
    <w:rsid w:val="00010371"/>
    <w:rsid w:val="0001272D"/>
    <w:rsid w:val="00014776"/>
    <w:rsid w:val="000222F0"/>
    <w:rsid w:val="00024D91"/>
    <w:rsid w:val="0002610D"/>
    <w:rsid w:val="00030CA1"/>
    <w:rsid w:val="00032945"/>
    <w:rsid w:val="00032F07"/>
    <w:rsid w:val="00034683"/>
    <w:rsid w:val="000354DE"/>
    <w:rsid w:val="0003652B"/>
    <w:rsid w:val="000378AD"/>
    <w:rsid w:val="00040215"/>
    <w:rsid w:val="00041031"/>
    <w:rsid w:val="0004237E"/>
    <w:rsid w:val="00043935"/>
    <w:rsid w:val="00057A4C"/>
    <w:rsid w:val="00057B5D"/>
    <w:rsid w:val="00061A8F"/>
    <w:rsid w:val="00063A62"/>
    <w:rsid w:val="00066E82"/>
    <w:rsid w:val="00070099"/>
    <w:rsid w:val="0007052A"/>
    <w:rsid w:val="000717C5"/>
    <w:rsid w:val="0007302C"/>
    <w:rsid w:val="00074993"/>
    <w:rsid w:val="000758B3"/>
    <w:rsid w:val="000809CB"/>
    <w:rsid w:val="00083A95"/>
    <w:rsid w:val="000917E8"/>
    <w:rsid w:val="0009213F"/>
    <w:rsid w:val="00094942"/>
    <w:rsid w:val="000A39DA"/>
    <w:rsid w:val="000A66DB"/>
    <w:rsid w:val="000A7B34"/>
    <w:rsid w:val="000B1D06"/>
    <w:rsid w:val="000B3847"/>
    <w:rsid w:val="000B46A2"/>
    <w:rsid w:val="000B6878"/>
    <w:rsid w:val="000C1ADB"/>
    <w:rsid w:val="000C1E3C"/>
    <w:rsid w:val="000C2666"/>
    <w:rsid w:val="000C2E87"/>
    <w:rsid w:val="000C42B6"/>
    <w:rsid w:val="000C72DA"/>
    <w:rsid w:val="000C7C71"/>
    <w:rsid w:val="000D18E6"/>
    <w:rsid w:val="000D1DD5"/>
    <w:rsid w:val="000D3F3B"/>
    <w:rsid w:val="000D52F2"/>
    <w:rsid w:val="000D69F5"/>
    <w:rsid w:val="000D6FD2"/>
    <w:rsid w:val="000D7BDC"/>
    <w:rsid w:val="000E0BCB"/>
    <w:rsid w:val="000E1739"/>
    <w:rsid w:val="000E1F46"/>
    <w:rsid w:val="000E4AAC"/>
    <w:rsid w:val="000E7F2E"/>
    <w:rsid w:val="000F0A74"/>
    <w:rsid w:val="000F376C"/>
    <w:rsid w:val="000F4086"/>
    <w:rsid w:val="000F47E6"/>
    <w:rsid w:val="000F5C39"/>
    <w:rsid w:val="000F63F3"/>
    <w:rsid w:val="00100552"/>
    <w:rsid w:val="0010074E"/>
    <w:rsid w:val="00100CDB"/>
    <w:rsid w:val="0010634F"/>
    <w:rsid w:val="001172A3"/>
    <w:rsid w:val="001175E0"/>
    <w:rsid w:val="00117668"/>
    <w:rsid w:val="00122F54"/>
    <w:rsid w:val="00132BCA"/>
    <w:rsid w:val="001345B8"/>
    <w:rsid w:val="00135072"/>
    <w:rsid w:val="00140B60"/>
    <w:rsid w:val="00143765"/>
    <w:rsid w:val="001454EA"/>
    <w:rsid w:val="00145533"/>
    <w:rsid w:val="001518F9"/>
    <w:rsid w:val="00155883"/>
    <w:rsid w:val="00157615"/>
    <w:rsid w:val="001577F4"/>
    <w:rsid w:val="00160AF9"/>
    <w:rsid w:val="00162539"/>
    <w:rsid w:val="00163C33"/>
    <w:rsid w:val="00165AA0"/>
    <w:rsid w:val="00170A4C"/>
    <w:rsid w:val="001717CB"/>
    <w:rsid w:val="00175081"/>
    <w:rsid w:val="0017516D"/>
    <w:rsid w:val="00175562"/>
    <w:rsid w:val="00175A78"/>
    <w:rsid w:val="00176320"/>
    <w:rsid w:val="0017658E"/>
    <w:rsid w:val="001766A1"/>
    <w:rsid w:val="00177953"/>
    <w:rsid w:val="001834C9"/>
    <w:rsid w:val="0018637B"/>
    <w:rsid w:val="0019111E"/>
    <w:rsid w:val="001932DD"/>
    <w:rsid w:val="00196230"/>
    <w:rsid w:val="001979D3"/>
    <w:rsid w:val="001A11D3"/>
    <w:rsid w:val="001A2B9E"/>
    <w:rsid w:val="001A409F"/>
    <w:rsid w:val="001A4A6F"/>
    <w:rsid w:val="001A4D85"/>
    <w:rsid w:val="001A7CE4"/>
    <w:rsid w:val="001B1393"/>
    <w:rsid w:val="001B47A7"/>
    <w:rsid w:val="001B50BB"/>
    <w:rsid w:val="001B5483"/>
    <w:rsid w:val="001B5998"/>
    <w:rsid w:val="001B7016"/>
    <w:rsid w:val="001B73D0"/>
    <w:rsid w:val="001C0CF4"/>
    <w:rsid w:val="001C14FB"/>
    <w:rsid w:val="001C2390"/>
    <w:rsid w:val="001C27A2"/>
    <w:rsid w:val="001C2F7A"/>
    <w:rsid w:val="001C2F93"/>
    <w:rsid w:val="001C38E5"/>
    <w:rsid w:val="001C433B"/>
    <w:rsid w:val="001D09B1"/>
    <w:rsid w:val="001D222B"/>
    <w:rsid w:val="001D224A"/>
    <w:rsid w:val="001D244D"/>
    <w:rsid w:val="001D62E9"/>
    <w:rsid w:val="001E31FC"/>
    <w:rsid w:val="001E49E8"/>
    <w:rsid w:val="001E600A"/>
    <w:rsid w:val="001E7445"/>
    <w:rsid w:val="001F03A1"/>
    <w:rsid w:val="001F080B"/>
    <w:rsid w:val="001F0DA6"/>
    <w:rsid w:val="001F1398"/>
    <w:rsid w:val="001F2053"/>
    <w:rsid w:val="001F243F"/>
    <w:rsid w:val="001F3835"/>
    <w:rsid w:val="002018B8"/>
    <w:rsid w:val="00202B24"/>
    <w:rsid w:val="00206C2C"/>
    <w:rsid w:val="00213279"/>
    <w:rsid w:val="00213430"/>
    <w:rsid w:val="002143BE"/>
    <w:rsid w:val="00215BD4"/>
    <w:rsid w:val="0021729E"/>
    <w:rsid w:val="002217B5"/>
    <w:rsid w:val="00226280"/>
    <w:rsid w:val="00226CEC"/>
    <w:rsid w:val="002310C0"/>
    <w:rsid w:val="0023186D"/>
    <w:rsid w:val="00232074"/>
    <w:rsid w:val="00234989"/>
    <w:rsid w:val="00234F91"/>
    <w:rsid w:val="00237E04"/>
    <w:rsid w:val="002413AC"/>
    <w:rsid w:val="00245339"/>
    <w:rsid w:val="00252109"/>
    <w:rsid w:val="00254659"/>
    <w:rsid w:val="00254AD1"/>
    <w:rsid w:val="00257A59"/>
    <w:rsid w:val="002614F4"/>
    <w:rsid w:val="00265D59"/>
    <w:rsid w:val="00267178"/>
    <w:rsid w:val="00267221"/>
    <w:rsid w:val="00270502"/>
    <w:rsid w:val="002706B4"/>
    <w:rsid w:val="00276EE5"/>
    <w:rsid w:val="00281CED"/>
    <w:rsid w:val="00282EDF"/>
    <w:rsid w:val="00283345"/>
    <w:rsid w:val="00286623"/>
    <w:rsid w:val="00287C73"/>
    <w:rsid w:val="00290493"/>
    <w:rsid w:val="00291154"/>
    <w:rsid w:val="002A12C9"/>
    <w:rsid w:val="002A15CA"/>
    <w:rsid w:val="002A2490"/>
    <w:rsid w:val="002A43FF"/>
    <w:rsid w:val="002A460B"/>
    <w:rsid w:val="002A47B2"/>
    <w:rsid w:val="002A5374"/>
    <w:rsid w:val="002B0B4F"/>
    <w:rsid w:val="002B35DE"/>
    <w:rsid w:val="002B5E4E"/>
    <w:rsid w:val="002B6960"/>
    <w:rsid w:val="002B7C3E"/>
    <w:rsid w:val="002C06BA"/>
    <w:rsid w:val="002C63EC"/>
    <w:rsid w:val="002D461F"/>
    <w:rsid w:val="002D492D"/>
    <w:rsid w:val="002E0262"/>
    <w:rsid w:val="002E071F"/>
    <w:rsid w:val="002E1E3A"/>
    <w:rsid w:val="002E1FDB"/>
    <w:rsid w:val="002E36AE"/>
    <w:rsid w:val="002E3E1D"/>
    <w:rsid w:val="002E6B4F"/>
    <w:rsid w:val="002F0147"/>
    <w:rsid w:val="002F08FD"/>
    <w:rsid w:val="002F2DAC"/>
    <w:rsid w:val="002F4F4D"/>
    <w:rsid w:val="002F5BE7"/>
    <w:rsid w:val="002F7E0E"/>
    <w:rsid w:val="003012A5"/>
    <w:rsid w:val="00302F47"/>
    <w:rsid w:val="00303DFB"/>
    <w:rsid w:val="003066A1"/>
    <w:rsid w:val="00307866"/>
    <w:rsid w:val="00311FE1"/>
    <w:rsid w:val="00313205"/>
    <w:rsid w:val="00315BF5"/>
    <w:rsid w:val="00320C9B"/>
    <w:rsid w:val="003228A4"/>
    <w:rsid w:val="00325D2E"/>
    <w:rsid w:val="0033053E"/>
    <w:rsid w:val="00331714"/>
    <w:rsid w:val="00331FAD"/>
    <w:rsid w:val="00332BCB"/>
    <w:rsid w:val="00336D20"/>
    <w:rsid w:val="0034108A"/>
    <w:rsid w:val="00342F57"/>
    <w:rsid w:val="003433F3"/>
    <w:rsid w:val="00343EFC"/>
    <w:rsid w:val="00345CCC"/>
    <w:rsid w:val="0034736F"/>
    <w:rsid w:val="00351AEA"/>
    <w:rsid w:val="00352C9F"/>
    <w:rsid w:val="003542D0"/>
    <w:rsid w:val="00354523"/>
    <w:rsid w:val="003566D1"/>
    <w:rsid w:val="0035787A"/>
    <w:rsid w:val="00357934"/>
    <w:rsid w:val="00357E07"/>
    <w:rsid w:val="00360854"/>
    <w:rsid w:val="003645FB"/>
    <w:rsid w:val="00366B61"/>
    <w:rsid w:val="00370E85"/>
    <w:rsid w:val="003710E8"/>
    <w:rsid w:val="00372108"/>
    <w:rsid w:val="0037314B"/>
    <w:rsid w:val="003731E7"/>
    <w:rsid w:val="00374A7F"/>
    <w:rsid w:val="00375A9E"/>
    <w:rsid w:val="00377441"/>
    <w:rsid w:val="003838E2"/>
    <w:rsid w:val="00386593"/>
    <w:rsid w:val="00386F00"/>
    <w:rsid w:val="0039062E"/>
    <w:rsid w:val="00392A3E"/>
    <w:rsid w:val="003937D0"/>
    <w:rsid w:val="00394415"/>
    <w:rsid w:val="00394BBC"/>
    <w:rsid w:val="003952E5"/>
    <w:rsid w:val="00395458"/>
    <w:rsid w:val="003A06DE"/>
    <w:rsid w:val="003A20E0"/>
    <w:rsid w:val="003B1774"/>
    <w:rsid w:val="003B19A2"/>
    <w:rsid w:val="003B2EBD"/>
    <w:rsid w:val="003B3758"/>
    <w:rsid w:val="003B4587"/>
    <w:rsid w:val="003B4F10"/>
    <w:rsid w:val="003B56D3"/>
    <w:rsid w:val="003B5E5E"/>
    <w:rsid w:val="003C16AA"/>
    <w:rsid w:val="003C25D1"/>
    <w:rsid w:val="003C6551"/>
    <w:rsid w:val="003D1314"/>
    <w:rsid w:val="003D2BF6"/>
    <w:rsid w:val="003D30A6"/>
    <w:rsid w:val="003D7CFD"/>
    <w:rsid w:val="003E0A9B"/>
    <w:rsid w:val="003E0EC3"/>
    <w:rsid w:val="003E2F51"/>
    <w:rsid w:val="003E325F"/>
    <w:rsid w:val="003E3E63"/>
    <w:rsid w:val="003E4593"/>
    <w:rsid w:val="003E629F"/>
    <w:rsid w:val="003E7D7E"/>
    <w:rsid w:val="003F05BE"/>
    <w:rsid w:val="003F1B71"/>
    <w:rsid w:val="003F257F"/>
    <w:rsid w:val="003F2D4B"/>
    <w:rsid w:val="003F3711"/>
    <w:rsid w:val="003F3E64"/>
    <w:rsid w:val="003F5334"/>
    <w:rsid w:val="003F5F9E"/>
    <w:rsid w:val="00400F6C"/>
    <w:rsid w:val="00401198"/>
    <w:rsid w:val="00401B0A"/>
    <w:rsid w:val="00402D39"/>
    <w:rsid w:val="0040523D"/>
    <w:rsid w:val="004059F5"/>
    <w:rsid w:val="00407B40"/>
    <w:rsid w:val="00410959"/>
    <w:rsid w:val="00411E3C"/>
    <w:rsid w:val="00414652"/>
    <w:rsid w:val="004154B3"/>
    <w:rsid w:val="00415719"/>
    <w:rsid w:val="00420002"/>
    <w:rsid w:val="00422143"/>
    <w:rsid w:val="00422EC1"/>
    <w:rsid w:val="0042390F"/>
    <w:rsid w:val="00423E7C"/>
    <w:rsid w:val="004267C9"/>
    <w:rsid w:val="00426F71"/>
    <w:rsid w:val="00430821"/>
    <w:rsid w:val="004308CA"/>
    <w:rsid w:val="00432549"/>
    <w:rsid w:val="00432ED7"/>
    <w:rsid w:val="004351F0"/>
    <w:rsid w:val="00436B98"/>
    <w:rsid w:val="004374F9"/>
    <w:rsid w:val="00440522"/>
    <w:rsid w:val="00443347"/>
    <w:rsid w:val="004436ED"/>
    <w:rsid w:val="00443712"/>
    <w:rsid w:val="00443ECF"/>
    <w:rsid w:val="00445044"/>
    <w:rsid w:val="004453D7"/>
    <w:rsid w:val="004462D1"/>
    <w:rsid w:val="00450845"/>
    <w:rsid w:val="004543E8"/>
    <w:rsid w:val="00461444"/>
    <w:rsid w:val="004631E7"/>
    <w:rsid w:val="00465C7B"/>
    <w:rsid w:val="00467EA3"/>
    <w:rsid w:val="00471ACD"/>
    <w:rsid w:val="00475114"/>
    <w:rsid w:val="00476A03"/>
    <w:rsid w:val="00480B9D"/>
    <w:rsid w:val="0048168D"/>
    <w:rsid w:val="004821BA"/>
    <w:rsid w:val="0048667F"/>
    <w:rsid w:val="00486773"/>
    <w:rsid w:val="0048768A"/>
    <w:rsid w:val="00491460"/>
    <w:rsid w:val="00491A29"/>
    <w:rsid w:val="00497038"/>
    <w:rsid w:val="004A06D3"/>
    <w:rsid w:val="004A1ED4"/>
    <w:rsid w:val="004A2A4A"/>
    <w:rsid w:val="004A4E06"/>
    <w:rsid w:val="004A5274"/>
    <w:rsid w:val="004A5A62"/>
    <w:rsid w:val="004A6753"/>
    <w:rsid w:val="004A7B8E"/>
    <w:rsid w:val="004B0C26"/>
    <w:rsid w:val="004B5001"/>
    <w:rsid w:val="004B512B"/>
    <w:rsid w:val="004B5211"/>
    <w:rsid w:val="004B5938"/>
    <w:rsid w:val="004C12E9"/>
    <w:rsid w:val="004C1C48"/>
    <w:rsid w:val="004C21AC"/>
    <w:rsid w:val="004C28D4"/>
    <w:rsid w:val="004C33F5"/>
    <w:rsid w:val="004C3D8F"/>
    <w:rsid w:val="004C3F3F"/>
    <w:rsid w:val="004C629D"/>
    <w:rsid w:val="004C71FA"/>
    <w:rsid w:val="004D1A85"/>
    <w:rsid w:val="004D268F"/>
    <w:rsid w:val="004D5621"/>
    <w:rsid w:val="004D5671"/>
    <w:rsid w:val="004D6FF0"/>
    <w:rsid w:val="004E6AB5"/>
    <w:rsid w:val="004E6DB0"/>
    <w:rsid w:val="004F028F"/>
    <w:rsid w:val="004F207A"/>
    <w:rsid w:val="005001BA"/>
    <w:rsid w:val="00503BF0"/>
    <w:rsid w:val="005046E2"/>
    <w:rsid w:val="00504F3C"/>
    <w:rsid w:val="00516FAE"/>
    <w:rsid w:val="00521479"/>
    <w:rsid w:val="00524686"/>
    <w:rsid w:val="00527508"/>
    <w:rsid w:val="0052792B"/>
    <w:rsid w:val="00544F57"/>
    <w:rsid w:val="0054511B"/>
    <w:rsid w:val="00545D21"/>
    <w:rsid w:val="00547BED"/>
    <w:rsid w:val="00552244"/>
    <w:rsid w:val="00554009"/>
    <w:rsid w:val="00555072"/>
    <w:rsid w:val="00555C42"/>
    <w:rsid w:val="00560FA4"/>
    <w:rsid w:val="0056122E"/>
    <w:rsid w:val="00561921"/>
    <w:rsid w:val="005620F0"/>
    <w:rsid w:val="005625B3"/>
    <w:rsid w:val="0056345D"/>
    <w:rsid w:val="00566FB8"/>
    <w:rsid w:val="00567B35"/>
    <w:rsid w:val="005713B3"/>
    <w:rsid w:val="00573655"/>
    <w:rsid w:val="00573FDC"/>
    <w:rsid w:val="00574EE1"/>
    <w:rsid w:val="005754EA"/>
    <w:rsid w:val="00585868"/>
    <w:rsid w:val="005862B7"/>
    <w:rsid w:val="0058750C"/>
    <w:rsid w:val="00590371"/>
    <w:rsid w:val="00590DFD"/>
    <w:rsid w:val="00592532"/>
    <w:rsid w:val="005940B1"/>
    <w:rsid w:val="00595231"/>
    <w:rsid w:val="005A0FD3"/>
    <w:rsid w:val="005A108F"/>
    <w:rsid w:val="005A272D"/>
    <w:rsid w:val="005A2AA3"/>
    <w:rsid w:val="005A2E88"/>
    <w:rsid w:val="005A4008"/>
    <w:rsid w:val="005A4A50"/>
    <w:rsid w:val="005A57FF"/>
    <w:rsid w:val="005A6BFB"/>
    <w:rsid w:val="005B3EC6"/>
    <w:rsid w:val="005B5B92"/>
    <w:rsid w:val="005B6C8C"/>
    <w:rsid w:val="005C20BA"/>
    <w:rsid w:val="005C35BB"/>
    <w:rsid w:val="005C689D"/>
    <w:rsid w:val="005C6C38"/>
    <w:rsid w:val="005C7E77"/>
    <w:rsid w:val="005D0E70"/>
    <w:rsid w:val="005D1193"/>
    <w:rsid w:val="005D1594"/>
    <w:rsid w:val="005D2F47"/>
    <w:rsid w:val="005D3EAE"/>
    <w:rsid w:val="005D67E0"/>
    <w:rsid w:val="005D6D19"/>
    <w:rsid w:val="005E0932"/>
    <w:rsid w:val="005E44D1"/>
    <w:rsid w:val="005E4929"/>
    <w:rsid w:val="005F194D"/>
    <w:rsid w:val="005F21AB"/>
    <w:rsid w:val="005F41FA"/>
    <w:rsid w:val="005F4A6A"/>
    <w:rsid w:val="005F58B9"/>
    <w:rsid w:val="005F656E"/>
    <w:rsid w:val="005F765C"/>
    <w:rsid w:val="006002CC"/>
    <w:rsid w:val="0060136D"/>
    <w:rsid w:val="006015D7"/>
    <w:rsid w:val="00602CE2"/>
    <w:rsid w:val="00604B57"/>
    <w:rsid w:val="006059C0"/>
    <w:rsid w:val="006064B2"/>
    <w:rsid w:val="00611676"/>
    <w:rsid w:val="0061197B"/>
    <w:rsid w:val="00611C73"/>
    <w:rsid w:val="00613217"/>
    <w:rsid w:val="00614005"/>
    <w:rsid w:val="006157A3"/>
    <w:rsid w:val="00620EAE"/>
    <w:rsid w:val="006218B8"/>
    <w:rsid w:val="006227B2"/>
    <w:rsid w:val="0062389A"/>
    <w:rsid w:val="00624496"/>
    <w:rsid w:val="00627077"/>
    <w:rsid w:val="006273D2"/>
    <w:rsid w:val="00631338"/>
    <w:rsid w:val="00634D2D"/>
    <w:rsid w:val="006364AB"/>
    <w:rsid w:val="00637CE9"/>
    <w:rsid w:val="006421B0"/>
    <w:rsid w:val="00644100"/>
    <w:rsid w:val="00645CF9"/>
    <w:rsid w:val="006464C7"/>
    <w:rsid w:val="00646D5B"/>
    <w:rsid w:val="006472DB"/>
    <w:rsid w:val="00647649"/>
    <w:rsid w:val="006532CC"/>
    <w:rsid w:val="00654E06"/>
    <w:rsid w:val="0065596A"/>
    <w:rsid w:val="00663490"/>
    <w:rsid w:val="00664398"/>
    <w:rsid w:val="00665D24"/>
    <w:rsid w:val="006669E3"/>
    <w:rsid w:val="0067265B"/>
    <w:rsid w:val="00672E1B"/>
    <w:rsid w:val="00675CBB"/>
    <w:rsid w:val="006765F0"/>
    <w:rsid w:val="00676801"/>
    <w:rsid w:val="006802CF"/>
    <w:rsid w:val="00680F65"/>
    <w:rsid w:val="006812B5"/>
    <w:rsid w:val="006815E1"/>
    <w:rsid w:val="006836D0"/>
    <w:rsid w:val="0068523D"/>
    <w:rsid w:val="00685294"/>
    <w:rsid w:val="00686BB2"/>
    <w:rsid w:val="00687792"/>
    <w:rsid w:val="00693F3B"/>
    <w:rsid w:val="00694C38"/>
    <w:rsid w:val="006964A6"/>
    <w:rsid w:val="0069665D"/>
    <w:rsid w:val="00696DB2"/>
    <w:rsid w:val="006A050C"/>
    <w:rsid w:val="006A0DAC"/>
    <w:rsid w:val="006A23F0"/>
    <w:rsid w:val="006A3F2D"/>
    <w:rsid w:val="006A4377"/>
    <w:rsid w:val="006A4654"/>
    <w:rsid w:val="006A5CB3"/>
    <w:rsid w:val="006A7D23"/>
    <w:rsid w:val="006B2459"/>
    <w:rsid w:val="006B31B4"/>
    <w:rsid w:val="006B5390"/>
    <w:rsid w:val="006B6A55"/>
    <w:rsid w:val="006C0AC8"/>
    <w:rsid w:val="006C337C"/>
    <w:rsid w:val="006C361C"/>
    <w:rsid w:val="006C4B26"/>
    <w:rsid w:val="006C4F73"/>
    <w:rsid w:val="006C59C4"/>
    <w:rsid w:val="006C7C72"/>
    <w:rsid w:val="006D7605"/>
    <w:rsid w:val="006E1E9D"/>
    <w:rsid w:val="006E2B4D"/>
    <w:rsid w:val="006E356B"/>
    <w:rsid w:val="006E366B"/>
    <w:rsid w:val="006E4F9F"/>
    <w:rsid w:val="006E6A16"/>
    <w:rsid w:val="006E7C2F"/>
    <w:rsid w:val="006F0FF9"/>
    <w:rsid w:val="006F19BB"/>
    <w:rsid w:val="006F2103"/>
    <w:rsid w:val="006F4283"/>
    <w:rsid w:val="006F4376"/>
    <w:rsid w:val="006F5C5D"/>
    <w:rsid w:val="00703010"/>
    <w:rsid w:val="00704A5D"/>
    <w:rsid w:val="00711091"/>
    <w:rsid w:val="00711B57"/>
    <w:rsid w:val="0071297C"/>
    <w:rsid w:val="007159FF"/>
    <w:rsid w:val="00716217"/>
    <w:rsid w:val="00723A02"/>
    <w:rsid w:val="00725096"/>
    <w:rsid w:val="00725172"/>
    <w:rsid w:val="00726E0C"/>
    <w:rsid w:val="00732020"/>
    <w:rsid w:val="00733D26"/>
    <w:rsid w:val="00734F0F"/>
    <w:rsid w:val="00740CC8"/>
    <w:rsid w:val="00742519"/>
    <w:rsid w:val="0074272B"/>
    <w:rsid w:val="00742DA1"/>
    <w:rsid w:val="0074496B"/>
    <w:rsid w:val="0074503C"/>
    <w:rsid w:val="00746AB0"/>
    <w:rsid w:val="0074740C"/>
    <w:rsid w:val="00751123"/>
    <w:rsid w:val="007534C8"/>
    <w:rsid w:val="007558C5"/>
    <w:rsid w:val="007566A8"/>
    <w:rsid w:val="0075696F"/>
    <w:rsid w:val="0076175C"/>
    <w:rsid w:val="007641C6"/>
    <w:rsid w:val="00764B9D"/>
    <w:rsid w:val="00767D5D"/>
    <w:rsid w:val="00774172"/>
    <w:rsid w:val="0078074B"/>
    <w:rsid w:val="007811DE"/>
    <w:rsid w:val="00782DD9"/>
    <w:rsid w:val="007836AE"/>
    <w:rsid w:val="007873DB"/>
    <w:rsid w:val="007900C4"/>
    <w:rsid w:val="0079136E"/>
    <w:rsid w:val="007921AD"/>
    <w:rsid w:val="00792308"/>
    <w:rsid w:val="0079358D"/>
    <w:rsid w:val="00794307"/>
    <w:rsid w:val="00795D33"/>
    <w:rsid w:val="007A0E27"/>
    <w:rsid w:val="007A18EA"/>
    <w:rsid w:val="007A1A2B"/>
    <w:rsid w:val="007A31B6"/>
    <w:rsid w:val="007A70FC"/>
    <w:rsid w:val="007B196D"/>
    <w:rsid w:val="007B1D27"/>
    <w:rsid w:val="007B2E9D"/>
    <w:rsid w:val="007B61BC"/>
    <w:rsid w:val="007B6694"/>
    <w:rsid w:val="007B7B4F"/>
    <w:rsid w:val="007B7DA3"/>
    <w:rsid w:val="007C1D3F"/>
    <w:rsid w:val="007C27F2"/>
    <w:rsid w:val="007C2FCE"/>
    <w:rsid w:val="007C458B"/>
    <w:rsid w:val="007C523B"/>
    <w:rsid w:val="007C6364"/>
    <w:rsid w:val="007C7683"/>
    <w:rsid w:val="007C78E0"/>
    <w:rsid w:val="007C7926"/>
    <w:rsid w:val="007D4185"/>
    <w:rsid w:val="007D4837"/>
    <w:rsid w:val="007D7391"/>
    <w:rsid w:val="007D78AC"/>
    <w:rsid w:val="007E21A8"/>
    <w:rsid w:val="007E4A6D"/>
    <w:rsid w:val="007E51C2"/>
    <w:rsid w:val="007E5EEE"/>
    <w:rsid w:val="007F0115"/>
    <w:rsid w:val="007F1F79"/>
    <w:rsid w:val="007F35BE"/>
    <w:rsid w:val="007F39C7"/>
    <w:rsid w:val="007F4CBE"/>
    <w:rsid w:val="007F7B71"/>
    <w:rsid w:val="007F7C8D"/>
    <w:rsid w:val="00800B46"/>
    <w:rsid w:val="00803A02"/>
    <w:rsid w:val="008045E1"/>
    <w:rsid w:val="008052FC"/>
    <w:rsid w:val="00806DE3"/>
    <w:rsid w:val="0082156D"/>
    <w:rsid w:val="00822AA4"/>
    <w:rsid w:val="00823827"/>
    <w:rsid w:val="00824902"/>
    <w:rsid w:val="00827CA1"/>
    <w:rsid w:val="008301CB"/>
    <w:rsid w:val="008323A1"/>
    <w:rsid w:val="00832D63"/>
    <w:rsid w:val="00832D87"/>
    <w:rsid w:val="00833883"/>
    <w:rsid w:val="008338E0"/>
    <w:rsid w:val="00833F4F"/>
    <w:rsid w:val="00835DB2"/>
    <w:rsid w:val="008379D2"/>
    <w:rsid w:val="00837D40"/>
    <w:rsid w:val="00844A6B"/>
    <w:rsid w:val="00846E2F"/>
    <w:rsid w:val="00850044"/>
    <w:rsid w:val="00850908"/>
    <w:rsid w:val="00850AA6"/>
    <w:rsid w:val="00851D44"/>
    <w:rsid w:val="00851DC3"/>
    <w:rsid w:val="00853F00"/>
    <w:rsid w:val="008628D7"/>
    <w:rsid w:val="00863DFB"/>
    <w:rsid w:val="00864FDD"/>
    <w:rsid w:val="00865592"/>
    <w:rsid w:val="00866C74"/>
    <w:rsid w:val="00867812"/>
    <w:rsid w:val="008726A3"/>
    <w:rsid w:val="00873564"/>
    <w:rsid w:val="00873693"/>
    <w:rsid w:val="00873E1D"/>
    <w:rsid w:val="00877A5F"/>
    <w:rsid w:val="00880123"/>
    <w:rsid w:val="008809A7"/>
    <w:rsid w:val="00881722"/>
    <w:rsid w:val="00881A3B"/>
    <w:rsid w:val="00882631"/>
    <w:rsid w:val="00883C12"/>
    <w:rsid w:val="00884A71"/>
    <w:rsid w:val="00887DC8"/>
    <w:rsid w:val="00890D2E"/>
    <w:rsid w:val="008944F1"/>
    <w:rsid w:val="008A0558"/>
    <w:rsid w:val="008A0994"/>
    <w:rsid w:val="008A121C"/>
    <w:rsid w:val="008A2641"/>
    <w:rsid w:val="008A6145"/>
    <w:rsid w:val="008A6E7F"/>
    <w:rsid w:val="008A7F89"/>
    <w:rsid w:val="008B1110"/>
    <w:rsid w:val="008B1550"/>
    <w:rsid w:val="008B4810"/>
    <w:rsid w:val="008B4D7A"/>
    <w:rsid w:val="008B7C11"/>
    <w:rsid w:val="008C3C89"/>
    <w:rsid w:val="008C3E53"/>
    <w:rsid w:val="008C5031"/>
    <w:rsid w:val="008D145F"/>
    <w:rsid w:val="008D20CA"/>
    <w:rsid w:val="008D296C"/>
    <w:rsid w:val="008D3B44"/>
    <w:rsid w:val="008D526E"/>
    <w:rsid w:val="008D641B"/>
    <w:rsid w:val="008E1C65"/>
    <w:rsid w:val="008E6A6D"/>
    <w:rsid w:val="008F55C6"/>
    <w:rsid w:val="008F618C"/>
    <w:rsid w:val="008F7DFD"/>
    <w:rsid w:val="009103BE"/>
    <w:rsid w:val="00911039"/>
    <w:rsid w:val="00911C3B"/>
    <w:rsid w:val="009124AF"/>
    <w:rsid w:val="00913707"/>
    <w:rsid w:val="0091573C"/>
    <w:rsid w:val="0091615C"/>
    <w:rsid w:val="0091640C"/>
    <w:rsid w:val="00917EFC"/>
    <w:rsid w:val="009217EB"/>
    <w:rsid w:val="0092194F"/>
    <w:rsid w:val="009228FF"/>
    <w:rsid w:val="00931137"/>
    <w:rsid w:val="00932095"/>
    <w:rsid w:val="00933E3F"/>
    <w:rsid w:val="00934593"/>
    <w:rsid w:val="00934DE6"/>
    <w:rsid w:val="0093799D"/>
    <w:rsid w:val="00940F72"/>
    <w:rsid w:val="00941340"/>
    <w:rsid w:val="00941E9E"/>
    <w:rsid w:val="00942482"/>
    <w:rsid w:val="0094776E"/>
    <w:rsid w:val="00947CE3"/>
    <w:rsid w:val="00953111"/>
    <w:rsid w:val="00955ADC"/>
    <w:rsid w:val="009563A5"/>
    <w:rsid w:val="009617FD"/>
    <w:rsid w:val="00964ED7"/>
    <w:rsid w:val="009650D5"/>
    <w:rsid w:val="00965181"/>
    <w:rsid w:val="00966042"/>
    <w:rsid w:val="00967122"/>
    <w:rsid w:val="009672D2"/>
    <w:rsid w:val="00971227"/>
    <w:rsid w:val="009721A7"/>
    <w:rsid w:val="00972932"/>
    <w:rsid w:val="0097414F"/>
    <w:rsid w:val="009755F0"/>
    <w:rsid w:val="00980E43"/>
    <w:rsid w:val="00982A69"/>
    <w:rsid w:val="00982C14"/>
    <w:rsid w:val="00983B44"/>
    <w:rsid w:val="00984AD2"/>
    <w:rsid w:val="009908CF"/>
    <w:rsid w:val="0099207B"/>
    <w:rsid w:val="009967E2"/>
    <w:rsid w:val="009A094B"/>
    <w:rsid w:val="009A0A59"/>
    <w:rsid w:val="009A23FE"/>
    <w:rsid w:val="009A3F2B"/>
    <w:rsid w:val="009A4D1E"/>
    <w:rsid w:val="009A5FF0"/>
    <w:rsid w:val="009B0721"/>
    <w:rsid w:val="009B3C1E"/>
    <w:rsid w:val="009B68B9"/>
    <w:rsid w:val="009B7368"/>
    <w:rsid w:val="009C2127"/>
    <w:rsid w:val="009C3B0D"/>
    <w:rsid w:val="009C598B"/>
    <w:rsid w:val="009C6A87"/>
    <w:rsid w:val="009C77DD"/>
    <w:rsid w:val="009C7A91"/>
    <w:rsid w:val="009C7DDD"/>
    <w:rsid w:val="009D18CA"/>
    <w:rsid w:val="009D36FA"/>
    <w:rsid w:val="009D3BD9"/>
    <w:rsid w:val="009D4FD3"/>
    <w:rsid w:val="009D52D8"/>
    <w:rsid w:val="009D561F"/>
    <w:rsid w:val="009D6E4C"/>
    <w:rsid w:val="009D7F35"/>
    <w:rsid w:val="009E0A65"/>
    <w:rsid w:val="009E1BBE"/>
    <w:rsid w:val="009E313A"/>
    <w:rsid w:val="009E625E"/>
    <w:rsid w:val="009E7C09"/>
    <w:rsid w:val="009E7C16"/>
    <w:rsid w:val="009F0C04"/>
    <w:rsid w:val="009F1A63"/>
    <w:rsid w:val="009F438F"/>
    <w:rsid w:val="009F68CB"/>
    <w:rsid w:val="00A01A39"/>
    <w:rsid w:val="00A04242"/>
    <w:rsid w:val="00A04E9E"/>
    <w:rsid w:val="00A04EB0"/>
    <w:rsid w:val="00A057C0"/>
    <w:rsid w:val="00A058CC"/>
    <w:rsid w:val="00A07057"/>
    <w:rsid w:val="00A0785B"/>
    <w:rsid w:val="00A10A71"/>
    <w:rsid w:val="00A1624C"/>
    <w:rsid w:val="00A169E0"/>
    <w:rsid w:val="00A17835"/>
    <w:rsid w:val="00A17EC5"/>
    <w:rsid w:val="00A2096A"/>
    <w:rsid w:val="00A215D8"/>
    <w:rsid w:val="00A22FB4"/>
    <w:rsid w:val="00A311CD"/>
    <w:rsid w:val="00A319E1"/>
    <w:rsid w:val="00A35B8C"/>
    <w:rsid w:val="00A36800"/>
    <w:rsid w:val="00A40A96"/>
    <w:rsid w:val="00A42A32"/>
    <w:rsid w:val="00A44D2D"/>
    <w:rsid w:val="00A4584F"/>
    <w:rsid w:val="00A47BB6"/>
    <w:rsid w:val="00A47EEB"/>
    <w:rsid w:val="00A511AD"/>
    <w:rsid w:val="00A51516"/>
    <w:rsid w:val="00A518E6"/>
    <w:rsid w:val="00A52DF4"/>
    <w:rsid w:val="00A53083"/>
    <w:rsid w:val="00A55C69"/>
    <w:rsid w:val="00A572BE"/>
    <w:rsid w:val="00A617AA"/>
    <w:rsid w:val="00A629B6"/>
    <w:rsid w:val="00A655C2"/>
    <w:rsid w:val="00A65E30"/>
    <w:rsid w:val="00A66F2B"/>
    <w:rsid w:val="00A6779C"/>
    <w:rsid w:val="00A70B15"/>
    <w:rsid w:val="00A73FDB"/>
    <w:rsid w:val="00A74122"/>
    <w:rsid w:val="00A776E6"/>
    <w:rsid w:val="00A77C64"/>
    <w:rsid w:val="00A77C9C"/>
    <w:rsid w:val="00A813DF"/>
    <w:rsid w:val="00A83408"/>
    <w:rsid w:val="00A8441C"/>
    <w:rsid w:val="00A84552"/>
    <w:rsid w:val="00A85A57"/>
    <w:rsid w:val="00A91516"/>
    <w:rsid w:val="00A915BB"/>
    <w:rsid w:val="00A91DFA"/>
    <w:rsid w:val="00A93D03"/>
    <w:rsid w:val="00A961EB"/>
    <w:rsid w:val="00A96F00"/>
    <w:rsid w:val="00AA47F5"/>
    <w:rsid w:val="00AA4CD7"/>
    <w:rsid w:val="00AA6B9B"/>
    <w:rsid w:val="00AA6D75"/>
    <w:rsid w:val="00AB2D27"/>
    <w:rsid w:val="00AB4FF9"/>
    <w:rsid w:val="00AB7D21"/>
    <w:rsid w:val="00AC2530"/>
    <w:rsid w:val="00AC3053"/>
    <w:rsid w:val="00AC3788"/>
    <w:rsid w:val="00AC519C"/>
    <w:rsid w:val="00AC71FF"/>
    <w:rsid w:val="00AC735C"/>
    <w:rsid w:val="00AD1A92"/>
    <w:rsid w:val="00AD1D96"/>
    <w:rsid w:val="00AD4405"/>
    <w:rsid w:val="00AD5B1F"/>
    <w:rsid w:val="00AD66AE"/>
    <w:rsid w:val="00AD7FEC"/>
    <w:rsid w:val="00AE0B5E"/>
    <w:rsid w:val="00AE2691"/>
    <w:rsid w:val="00AE3F93"/>
    <w:rsid w:val="00AE661E"/>
    <w:rsid w:val="00AF02E2"/>
    <w:rsid w:val="00AF3A09"/>
    <w:rsid w:val="00AF412A"/>
    <w:rsid w:val="00AF55DD"/>
    <w:rsid w:val="00AF616D"/>
    <w:rsid w:val="00AF7FE8"/>
    <w:rsid w:val="00B062E7"/>
    <w:rsid w:val="00B06603"/>
    <w:rsid w:val="00B070D3"/>
    <w:rsid w:val="00B103B1"/>
    <w:rsid w:val="00B10A92"/>
    <w:rsid w:val="00B10B9E"/>
    <w:rsid w:val="00B11851"/>
    <w:rsid w:val="00B13276"/>
    <w:rsid w:val="00B1365B"/>
    <w:rsid w:val="00B13F32"/>
    <w:rsid w:val="00B14B0C"/>
    <w:rsid w:val="00B14E6F"/>
    <w:rsid w:val="00B1599B"/>
    <w:rsid w:val="00B236BB"/>
    <w:rsid w:val="00B25269"/>
    <w:rsid w:val="00B25650"/>
    <w:rsid w:val="00B306FC"/>
    <w:rsid w:val="00B31AFB"/>
    <w:rsid w:val="00B32D0F"/>
    <w:rsid w:val="00B33E1B"/>
    <w:rsid w:val="00B34463"/>
    <w:rsid w:val="00B34BDF"/>
    <w:rsid w:val="00B3510C"/>
    <w:rsid w:val="00B36FB7"/>
    <w:rsid w:val="00B4065B"/>
    <w:rsid w:val="00B4403F"/>
    <w:rsid w:val="00B46089"/>
    <w:rsid w:val="00B512C4"/>
    <w:rsid w:val="00B538B3"/>
    <w:rsid w:val="00B55B14"/>
    <w:rsid w:val="00B57761"/>
    <w:rsid w:val="00B61BD9"/>
    <w:rsid w:val="00B62C24"/>
    <w:rsid w:val="00B6377B"/>
    <w:rsid w:val="00B64815"/>
    <w:rsid w:val="00B66953"/>
    <w:rsid w:val="00B70440"/>
    <w:rsid w:val="00B705D8"/>
    <w:rsid w:val="00B70D37"/>
    <w:rsid w:val="00B72729"/>
    <w:rsid w:val="00B72CD0"/>
    <w:rsid w:val="00B73E4D"/>
    <w:rsid w:val="00B74A8D"/>
    <w:rsid w:val="00B75294"/>
    <w:rsid w:val="00B77247"/>
    <w:rsid w:val="00B84C86"/>
    <w:rsid w:val="00B91882"/>
    <w:rsid w:val="00B92F8B"/>
    <w:rsid w:val="00B94097"/>
    <w:rsid w:val="00B94253"/>
    <w:rsid w:val="00B959D6"/>
    <w:rsid w:val="00BA04B1"/>
    <w:rsid w:val="00BA1925"/>
    <w:rsid w:val="00BA2308"/>
    <w:rsid w:val="00BA3F54"/>
    <w:rsid w:val="00BA4040"/>
    <w:rsid w:val="00BA4B16"/>
    <w:rsid w:val="00BA5074"/>
    <w:rsid w:val="00BA5608"/>
    <w:rsid w:val="00BA6A7D"/>
    <w:rsid w:val="00BA7170"/>
    <w:rsid w:val="00BA776E"/>
    <w:rsid w:val="00BB4369"/>
    <w:rsid w:val="00BB6D57"/>
    <w:rsid w:val="00BC2461"/>
    <w:rsid w:val="00BC2BA7"/>
    <w:rsid w:val="00BC2E58"/>
    <w:rsid w:val="00BC6198"/>
    <w:rsid w:val="00BC656F"/>
    <w:rsid w:val="00BC68B5"/>
    <w:rsid w:val="00BC6FE3"/>
    <w:rsid w:val="00BC7AB2"/>
    <w:rsid w:val="00BC7B20"/>
    <w:rsid w:val="00BD0964"/>
    <w:rsid w:val="00BD2CBC"/>
    <w:rsid w:val="00BD2D5E"/>
    <w:rsid w:val="00BD368B"/>
    <w:rsid w:val="00BD3AE2"/>
    <w:rsid w:val="00BD427D"/>
    <w:rsid w:val="00BD5E6E"/>
    <w:rsid w:val="00BD6A29"/>
    <w:rsid w:val="00BE16DD"/>
    <w:rsid w:val="00BE2269"/>
    <w:rsid w:val="00BE741D"/>
    <w:rsid w:val="00BE75A1"/>
    <w:rsid w:val="00BF0ABC"/>
    <w:rsid w:val="00BF3D41"/>
    <w:rsid w:val="00BF4F08"/>
    <w:rsid w:val="00BF51CA"/>
    <w:rsid w:val="00BF54F5"/>
    <w:rsid w:val="00BF5594"/>
    <w:rsid w:val="00BF5D42"/>
    <w:rsid w:val="00BF7C63"/>
    <w:rsid w:val="00BF7EBD"/>
    <w:rsid w:val="00C01C8E"/>
    <w:rsid w:val="00C02076"/>
    <w:rsid w:val="00C04E74"/>
    <w:rsid w:val="00C06CB9"/>
    <w:rsid w:val="00C10972"/>
    <w:rsid w:val="00C1105F"/>
    <w:rsid w:val="00C11205"/>
    <w:rsid w:val="00C1277A"/>
    <w:rsid w:val="00C15925"/>
    <w:rsid w:val="00C16751"/>
    <w:rsid w:val="00C169D1"/>
    <w:rsid w:val="00C16B9C"/>
    <w:rsid w:val="00C17114"/>
    <w:rsid w:val="00C20C27"/>
    <w:rsid w:val="00C21D07"/>
    <w:rsid w:val="00C2376D"/>
    <w:rsid w:val="00C23AC2"/>
    <w:rsid w:val="00C24DC5"/>
    <w:rsid w:val="00C24F30"/>
    <w:rsid w:val="00C3017E"/>
    <w:rsid w:val="00C32351"/>
    <w:rsid w:val="00C326AE"/>
    <w:rsid w:val="00C34493"/>
    <w:rsid w:val="00C34562"/>
    <w:rsid w:val="00C37668"/>
    <w:rsid w:val="00C37A1C"/>
    <w:rsid w:val="00C37E08"/>
    <w:rsid w:val="00C41A62"/>
    <w:rsid w:val="00C44945"/>
    <w:rsid w:val="00C44DF9"/>
    <w:rsid w:val="00C51068"/>
    <w:rsid w:val="00C5157A"/>
    <w:rsid w:val="00C5191E"/>
    <w:rsid w:val="00C57CDD"/>
    <w:rsid w:val="00C662CE"/>
    <w:rsid w:val="00C66E97"/>
    <w:rsid w:val="00C677E6"/>
    <w:rsid w:val="00C71297"/>
    <w:rsid w:val="00C751AE"/>
    <w:rsid w:val="00C751FA"/>
    <w:rsid w:val="00C76730"/>
    <w:rsid w:val="00C805E9"/>
    <w:rsid w:val="00C84E3E"/>
    <w:rsid w:val="00C87B61"/>
    <w:rsid w:val="00C901A4"/>
    <w:rsid w:val="00C91310"/>
    <w:rsid w:val="00C913E2"/>
    <w:rsid w:val="00C91E9C"/>
    <w:rsid w:val="00C938F3"/>
    <w:rsid w:val="00C93D1A"/>
    <w:rsid w:val="00C958D4"/>
    <w:rsid w:val="00C97A98"/>
    <w:rsid w:val="00CA0463"/>
    <w:rsid w:val="00CA129D"/>
    <w:rsid w:val="00CA1AC9"/>
    <w:rsid w:val="00CA4C8F"/>
    <w:rsid w:val="00CA58AD"/>
    <w:rsid w:val="00CA5B98"/>
    <w:rsid w:val="00CA7B60"/>
    <w:rsid w:val="00CB0C9B"/>
    <w:rsid w:val="00CB27B4"/>
    <w:rsid w:val="00CB41A2"/>
    <w:rsid w:val="00CC31C5"/>
    <w:rsid w:val="00CC363A"/>
    <w:rsid w:val="00CC6415"/>
    <w:rsid w:val="00CD1426"/>
    <w:rsid w:val="00CD4B26"/>
    <w:rsid w:val="00CD5DA0"/>
    <w:rsid w:val="00CD6306"/>
    <w:rsid w:val="00CD7DA9"/>
    <w:rsid w:val="00CE14AC"/>
    <w:rsid w:val="00CE1FD8"/>
    <w:rsid w:val="00CE200E"/>
    <w:rsid w:val="00CE26A5"/>
    <w:rsid w:val="00CF61AC"/>
    <w:rsid w:val="00CF789A"/>
    <w:rsid w:val="00D0059A"/>
    <w:rsid w:val="00D009E7"/>
    <w:rsid w:val="00D01FF7"/>
    <w:rsid w:val="00D02118"/>
    <w:rsid w:val="00D05A2D"/>
    <w:rsid w:val="00D07D76"/>
    <w:rsid w:val="00D07D9D"/>
    <w:rsid w:val="00D124ED"/>
    <w:rsid w:val="00D12A06"/>
    <w:rsid w:val="00D13EB4"/>
    <w:rsid w:val="00D16663"/>
    <w:rsid w:val="00D21701"/>
    <w:rsid w:val="00D22ADF"/>
    <w:rsid w:val="00D25761"/>
    <w:rsid w:val="00D25F60"/>
    <w:rsid w:val="00D26863"/>
    <w:rsid w:val="00D30330"/>
    <w:rsid w:val="00D31C89"/>
    <w:rsid w:val="00D32681"/>
    <w:rsid w:val="00D33D3A"/>
    <w:rsid w:val="00D34669"/>
    <w:rsid w:val="00D35EA1"/>
    <w:rsid w:val="00D44685"/>
    <w:rsid w:val="00D45BF5"/>
    <w:rsid w:val="00D52F1A"/>
    <w:rsid w:val="00D53596"/>
    <w:rsid w:val="00D5726D"/>
    <w:rsid w:val="00D577CB"/>
    <w:rsid w:val="00D61591"/>
    <w:rsid w:val="00D61B84"/>
    <w:rsid w:val="00D65109"/>
    <w:rsid w:val="00D66E52"/>
    <w:rsid w:val="00D6750B"/>
    <w:rsid w:val="00D67CD2"/>
    <w:rsid w:val="00D72993"/>
    <w:rsid w:val="00D7339D"/>
    <w:rsid w:val="00D73CB1"/>
    <w:rsid w:val="00D75F9D"/>
    <w:rsid w:val="00D76C0A"/>
    <w:rsid w:val="00D8011C"/>
    <w:rsid w:val="00D813EF"/>
    <w:rsid w:val="00D84687"/>
    <w:rsid w:val="00D85866"/>
    <w:rsid w:val="00D866A1"/>
    <w:rsid w:val="00D8770D"/>
    <w:rsid w:val="00D87FCC"/>
    <w:rsid w:val="00D92587"/>
    <w:rsid w:val="00D9271A"/>
    <w:rsid w:val="00D95671"/>
    <w:rsid w:val="00DA1663"/>
    <w:rsid w:val="00DA18F6"/>
    <w:rsid w:val="00DA27E5"/>
    <w:rsid w:val="00DA4315"/>
    <w:rsid w:val="00DA4D05"/>
    <w:rsid w:val="00DA58E5"/>
    <w:rsid w:val="00DA70D5"/>
    <w:rsid w:val="00DB33CC"/>
    <w:rsid w:val="00DB4340"/>
    <w:rsid w:val="00DC0B8C"/>
    <w:rsid w:val="00DC499A"/>
    <w:rsid w:val="00DC50FA"/>
    <w:rsid w:val="00DC6E5C"/>
    <w:rsid w:val="00DD22A5"/>
    <w:rsid w:val="00DD3357"/>
    <w:rsid w:val="00DD491B"/>
    <w:rsid w:val="00DD536A"/>
    <w:rsid w:val="00DE0359"/>
    <w:rsid w:val="00DE25DD"/>
    <w:rsid w:val="00DE2787"/>
    <w:rsid w:val="00DE29FD"/>
    <w:rsid w:val="00DE2B2B"/>
    <w:rsid w:val="00DE3A3B"/>
    <w:rsid w:val="00DE566F"/>
    <w:rsid w:val="00DE59AE"/>
    <w:rsid w:val="00DF24D7"/>
    <w:rsid w:val="00DF6DA4"/>
    <w:rsid w:val="00E026B5"/>
    <w:rsid w:val="00E026CC"/>
    <w:rsid w:val="00E02C2C"/>
    <w:rsid w:val="00E05660"/>
    <w:rsid w:val="00E05DB0"/>
    <w:rsid w:val="00E069C5"/>
    <w:rsid w:val="00E0788A"/>
    <w:rsid w:val="00E10334"/>
    <w:rsid w:val="00E134A0"/>
    <w:rsid w:val="00E1516B"/>
    <w:rsid w:val="00E17866"/>
    <w:rsid w:val="00E1790B"/>
    <w:rsid w:val="00E17B04"/>
    <w:rsid w:val="00E23104"/>
    <w:rsid w:val="00E233B9"/>
    <w:rsid w:val="00E27E85"/>
    <w:rsid w:val="00E31C15"/>
    <w:rsid w:val="00E33309"/>
    <w:rsid w:val="00E44B64"/>
    <w:rsid w:val="00E46306"/>
    <w:rsid w:val="00E47085"/>
    <w:rsid w:val="00E50778"/>
    <w:rsid w:val="00E5141A"/>
    <w:rsid w:val="00E52E76"/>
    <w:rsid w:val="00E5387D"/>
    <w:rsid w:val="00E53D8B"/>
    <w:rsid w:val="00E5468D"/>
    <w:rsid w:val="00E5552C"/>
    <w:rsid w:val="00E55F0C"/>
    <w:rsid w:val="00E6024B"/>
    <w:rsid w:val="00E62715"/>
    <w:rsid w:val="00E64601"/>
    <w:rsid w:val="00E676AA"/>
    <w:rsid w:val="00E70272"/>
    <w:rsid w:val="00E7373D"/>
    <w:rsid w:val="00E759E3"/>
    <w:rsid w:val="00E805DC"/>
    <w:rsid w:val="00E83084"/>
    <w:rsid w:val="00E83524"/>
    <w:rsid w:val="00E83650"/>
    <w:rsid w:val="00E91AC4"/>
    <w:rsid w:val="00E91CB2"/>
    <w:rsid w:val="00E9603F"/>
    <w:rsid w:val="00E9629C"/>
    <w:rsid w:val="00E96AAC"/>
    <w:rsid w:val="00E96B2F"/>
    <w:rsid w:val="00E96B9C"/>
    <w:rsid w:val="00E97074"/>
    <w:rsid w:val="00EA0630"/>
    <w:rsid w:val="00EA0C01"/>
    <w:rsid w:val="00EA2804"/>
    <w:rsid w:val="00EA2FD3"/>
    <w:rsid w:val="00EA5912"/>
    <w:rsid w:val="00EB1E2F"/>
    <w:rsid w:val="00EB3BEB"/>
    <w:rsid w:val="00EB45D5"/>
    <w:rsid w:val="00EC06D4"/>
    <w:rsid w:val="00EC0766"/>
    <w:rsid w:val="00EC148B"/>
    <w:rsid w:val="00EC2995"/>
    <w:rsid w:val="00EC3B8C"/>
    <w:rsid w:val="00EC3D27"/>
    <w:rsid w:val="00ED0961"/>
    <w:rsid w:val="00ED3527"/>
    <w:rsid w:val="00ED5434"/>
    <w:rsid w:val="00EE253A"/>
    <w:rsid w:val="00EE4B7F"/>
    <w:rsid w:val="00EE5717"/>
    <w:rsid w:val="00EE7EA2"/>
    <w:rsid w:val="00EF0EF0"/>
    <w:rsid w:val="00EF1F1D"/>
    <w:rsid w:val="00EF28C0"/>
    <w:rsid w:val="00EF5819"/>
    <w:rsid w:val="00F02B9E"/>
    <w:rsid w:val="00F0532F"/>
    <w:rsid w:val="00F065E6"/>
    <w:rsid w:val="00F11A6F"/>
    <w:rsid w:val="00F125C2"/>
    <w:rsid w:val="00F12CE9"/>
    <w:rsid w:val="00F14427"/>
    <w:rsid w:val="00F17000"/>
    <w:rsid w:val="00F20144"/>
    <w:rsid w:val="00F2047D"/>
    <w:rsid w:val="00F22FBF"/>
    <w:rsid w:val="00F248ED"/>
    <w:rsid w:val="00F2772F"/>
    <w:rsid w:val="00F27D07"/>
    <w:rsid w:val="00F27E10"/>
    <w:rsid w:val="00F30AAD"/>
    <w:rsid w:val="00F32A17"/>
    <w:rsid w:val="00F35472"/>
    <w:rsid w:val="00F36512"/>
    <w:rsid w:val="00F40789"/>
    <w:rsid w:val="00F413D8"/>
    <w:rsid w:val="00F4143B"/>
    <w:rsid w:val="00F42F66"/>
    <w:rsid w:val="00F43030"/>
    <w:rsid w:val="00F430C7"/>
    <w:rsid w:val="00F444DE"/>
    <w:rsid w:val="00F4523B"/>
    <w:rsid w:val="00F45C51"/>
    <w:rsid w:val="00F46094"/>
    <w:rsid w:val="00F46489"/>
    <w:rsid w:val="00F469B4"/>
    <w:rsid w:val="00F47045"/>
    <w:rsid w:val="00F47054"/>
    <w:rsid w:val="00F476CA"/>
    <w:rsid w:val="00F503BF"/>
    <w:rsid w:val="00F52D76"/>
    <w:rsid w:val="00F52DB5"/>
    <w:rsid w:val="00F531A5"/>
    <w:rsid w:val="00F5353C"/>
    <w:rsid w:val="00F55B89"/>
    <w:rsid w:val="00F55F65"/>
    <w:rsid w:val="00F564FB"/>
    <w:rsid w:val="00F573B7"/>
    <w:rsid w:val="00F609FB"/>
    <w:rsid w:val="00F60E27"/>
    <w:rsid w:val="00F61101"/>
    <w:rsid w:val="00F63B8E"/>
    <w:rsid w:val="00F66D8D"/>
    <w:rsid w:val="00F66E13"/>
    <w:rsid w:val="00F670F9"/>
    <w:rsid w:val="00F713D9"/>
    <w:rsid w:val="00F7188E"/>
    <w:rsid w:val="00F73923"/>
    <w:rsid w:val="00F75C95"/>
    <w:rsid w:val="00F8092E"/>
    <w:rsid w:val="00F83000"/>
    <w:rsid w:val="00F856BA"/>
    <w:rsid w:val="00F86327"/>
    <w:rsid w:val="00F90787"/>
    <w:rsid w:val="00F91804"/>
    <w:rsid w:val="00F977A1"/>
    <w:rsid w:val="00FA0218"/>
    <w:rsid w:val="00FA074E"/>
    <w:rsid w:val="00FA6A9B"/>
    <w:rsid w:val="00FA7057"/>
    <w:rsid w:val="00FB122B"/>
    <w:rsid w:val="00FB1DF4"/>
    <w:rsid w:val="00FB2A1A"/>
    <w:rsid w:val="00FB6BE0"/>
    <w:rsid w:val="00FB6CFB"/>
    <w:rsid w:val="00FB7007"/>
    <w:rsid w:val="00FB72D7"/>
    <w:rsid w:val="00FC1441"/>
    <w:rsid w:val="00FC5AFE"/>
    <w:rsid w:val="00FC753D"/>
    <w:rsid w:val="00FC7800"/>
    <w:rsid w:val="00FD1B8B"/>
    <w:rsid w:val="00FD5C4F"/>
    <w:rsid w:val="00FD6EF6"/>
    <w:rsid w:val="00FE122F"/>
    <w:rsid w:val="00FE2E51"/>
    <w:rsid w:val="00FE301D"/>
    <w:rsid w:val="00FE330C"/>
    <w:rsid w:val="00FE378C"/>
    <w:rsid w:val="00FE619B"/>
    <w:rsid w:val="00FF2E59"/>
    <w:rsid w:val="00FF32DD"/>
    <w:rsid w:val="00FF3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1444"/>
    <w:pPr>
      <w:spacing w:after="200" w:line="276" w:lineRule="auto"/>
    </w:pPr>
    <w:rPr>
      <w:sz w:val="22"/>
      <w:szCs w:val="22"/>
      <w:lang w:eastAsia="en-US"/>
    </w:rPr>
  </w:style>
  <w:style w:type="paragraph" w:styleId="10">
    <w:name w:val="heading 1"/>
    <w:basedOn w:val="a1"/>
    <w:next w:val="a1"/>
    <w:link w:val="11"/>
    <w:uiPriority w:val="9"/>
    <w:qFormat/>
    <w:rsid w:val="000D3F3B"/>
    <w:pPr>
      <w:keepNext/>
      <w:spacing w:before="240" w:after="60"/>
      <w:outlineLvl w:val="0"/>
    </w:pPr>
    <w:rPr>
      <w:rFonts w:ascii="Calibri Light" w:eastAsia="Times New Roman" w:hAnsi="Calibri Light"/>
      <w:b/>
      <w:bCs/>
      <w:kern w:val="32"/>
      <w:sz w:val="32"/>
      <w:szCs w:val="32"/>
    </w:rPr>
  </w:style>
  <w:style w:type="paragraph" w:styleId="2">
    <w:name w:val="heading 2"/>
    <w:basedOn w:val="a1"/>
    <w:next w:val="a1"/>
    <w:link w:val="20"/>
    <w:qFormat/>
    <w:rsid w:val="00461444"/>
    <w:pPr>
      <w:keepNext/>
      <w:widowControl w:val="0"/>
      <w:autoSpaceDE w:val="0"/>
      <w:autoSpaceDN w:val="0"/>
      <w:adjustRightInd w:val="0"/>
      <w:spacing w:before="240" w:after="60" w:line="240" w:lineRule="auto"/>
      <w:outlineLvl w:val="1"/>
    </w:pPr>
    <w:rPr>
      <w:rFonts w:ascii="Arial" w:eastAsia="Times New Roman" w:hAnsi="Arial" w:cs="Arial"/>
      <w:b/>
      <w:b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461444"/>
    <w:rPr>
      <w:rFonts w:ascii="Arial" w:eastAsia="Times New Roman" w:hAnsi="Arial" w:cs="Arial"/>
      <w:b/>
      <w:bCs/>
      <w:sz w:val="24"/>
      <w:szCs w:val="24"/>
      <w:lang w:eastAsia="ru-RU"/>
    </w:rPr>
  </w:style>
  <w:style w:type="paragraph" w:styleId="a5">
    <w:name w:val="List Paragraph"/>
    <w:basedOn w:val="a1"/>
    <w:link w:val="a6"/>
    <w:uiPriority w:val="34"/>
    <w:qFormat/>
    <w:rsid w:val="00461444"/>
    <w:pPr>
      <w:ind w:left="720"/>
      <w:contextualSpacing/>
    </w:pPr>
  </w:style>
  <w:style w:type="paragraph" w:styleId="a7">
    <w:name w:val="header"/>
    <w:basedOn w:val="a1"/>
    <w:link w:val="a8"/>
    <w:uiPriority w:val="99"/>
    <w:unhideWhenUsed/>
    <w:rsid w:val="00461444"/>
    <w:pPr>
      <w:tabs>
        <w:tab w:val="center" w:pos="4844"/>
        <w:tab w:val="right" w:pos="9689"/>
      </w:tabs>
      <w:spacing w:after="0" w:line="240" w:lineRule="auto"/>
    </w:pPr>
  </w:style>
  <w:style w:type="character" w:customStyle="1" w:styleId="a8">
    <w:name w:val="Верхний колонтитул Знак"/>
    <w:link w:val="a7"/>
    <w:uiPriority w:val="99"/>
    <w:rsid w:val="00461444"/>
    <w:rPr>
      <w:rFonts w:ascii="Calibri" w:eastAsia="Calibri" w:hAnsi="Calibri" w:cs="Times New Roman"/>
      <w:lang w:val="en-US"/>
    </w:rPr>
  </w:style>
  <w:style w:type="paragraph" w:styleId="a9">
    <w:name w:val="footer"/>
    <w:basedOn w:val="a1"/>
    <w:link w:val="aa"/>
    <w:uiPriority w:val="99"/>
    <w:unhideWhenUsed/>
    <w:rsid w:val="00461444"/>
    <w:pPr>
      <w:tabs>
        <w:tab w:val="center" w:pos="4844"/>
        <w:tab w:val="right" w:pos="9689"/>
      </w:tabs>
      <w:spacing w:after="0" w:line="240" w:lineRule="auto"/>
    </w:pPr>
  </w:style>
  <w:style w:type="character" w:customStyle="1" w:styleId="aa">
    <w:name w:val="Нижний колонтитул Знак"/>
    <w:link w:val="a9"/>
    <w:uiPriority w:val="99"/>
    <w:rsid w:val="00461444"/>
    <w:rPr>
      <w:rFonts w:ascii="Calibri" w:eastAsia="Calibri" w:hAnsi="Calibri" w:cs="Times New Roman"/>
      <w:lang w:val="en-US"/>
    </w:rPr>
  </w:style>
  <w:style w:type="character" w:styleId="ab">
    <w:name w:val="annotation reference"/>
    <w:uiPriority w:val="99"/>
    <w:semiHidden/>
    <w:unhideWhenUsed/>
    <w:rsid w:val="00461444"/>
    <w:rPr>
      <w:sz w:val="16"/>
      <w:szCs w:val="16"/>
    </w:rPr>
  </w:style>
  <w:style w:type="paragraph" w:styleId="ac">
    <w:name w:val="annotation text"/>
    <w:basedOn w:val="a1"/>
    <w:link w:val="ad"/>
    <w:uiPriority w:val="99"/>
    <w:unhideWhenUsed/>
    <w:rsid w:val="00461444"/>
    <w:pPr>
      <w:spacing w:line="240" w:lineRule="auto"/>
    </w:pPr>
    <w:rPr>
      <w:sz w:val="20"/>
      <w:szCs w:val="20"/>
    </w:rPr>
  </w:style>
  <w:style w:type="character" w:customStyle="1" w:styleId="ad">
    <w:name w:val="Текст примечания Знак"/>
    <w:link w:val="ac"/>
    <w:uiPriority w:val="99"/>
    <w:rsid w:val="00461444"/>
    <w:rPr>
      <w:rFonts w:ascii="Calibri" w:eastAsia="Calibri" w:hAnsi="Calibri" w:cs="Times New Roman"/>
      <w:sz w:val="20"/>
      <w:szCs w:val="20"/>
      <w:lang w:val="en-US"/>
    </w:rPr>
  </w:style>
  <w:style w:type="paragraph" w:styleId="ae">
    <w:name w:val="Body Text"/>
    <w:basedOn w:val="a1"/>
    <w:link w:val="af"/>
    <w:rsid w:val="00461444"/>
    <w:pPr>
      <w:spacing w:after="0" w:line="240" w:lineRule="auto"/>
      <w:jc w:val="center"/>
    </w:pPr>
    <w:rPr>
      <w:rFonts w:ascii="Times New Roman" w:eastAsia="Times New Roman" w:hAnsi="Times New Roman"/>
      <w:sz w:val="24"/>
      <w:szCs w:val="24"/>
    </w:rPr>
  </w:style>
  <w:style w:type="character" w:customStyle="1" w:styleId="af">
    <w:name w:val="Основной текст Знак"/>
    <w:link w:val="ae"/>
    <w:rsid w:val="00461444"/>
    <w:rPr>
      <w:rFonts w:ascii="Times New Roman" w:eastAsia="Times New Roman" w:hAnsi="Times New Roman" w:cs="Times New Roman"/>
      <w:sz w:val="24"/>
      <w:szCs w:val="24"/>
      <w:lang w:val="en-US"/>
    </w:rPr>
  </w:style>
  <w:style w:type="paragraph" w:customStyle="1" w:styleId="Default">
    <w:name w:val="Default"/>
    <w:rsid w:val="00461444"/>
    <w:pPr>
      <w:autoSpaceDE w:val="0"/>
      <w:autoSpaceDN w:val="0"/>
      <w:adjustRightInd w:val="0"/>
    </w:pPr>
    <w:rPr>
      <w:rFonts w:ascii="Arial" w:hAnsi="Arial" w:cs="Arial"/>
      <w:color w:val="000000"/>
      <w:sz w:val="24"/>
      <w:szCs w:val="24"/>
      <w:lang w:val="ru-RU" w:eastAsia="ru-RU"/>
    </w:rPr>
  </w:style>
  <w:style w:type="paragraph" w:styleId="af0">
    <w:name w:val="Balloon Text"/>
    <w:basedOn w:val="a1"/>
    <w:link w:val="af1"/>
    <w:uiPriority w:val="99"/>
    <w:semiHidden/>
    <w:unhideWhenUsed/>
    <w:rsid w:val="00461444"/>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461444"/>
    <w:rPr>
      <w:rFonts w:ascii="Tahoma" w:eastAsia="Calibri" w:hAnsi="Tahoma" w:cs="Tahoma"/>
      <w:sz w:val="16"/>
      <w:szCs w:val="16"/>
      <w:lang w:val="en-US"/>
    </w:rPr>
  </w:style>
  <w:style w:type="paragraph" w:styleId="af2">
    <w:name w:val="annotation subject"/>
    <w:basedOn w:val="ac"/>
    <w:next w:val="ac"/>
    <w:link w:val="af3"/>
    <w:uiPriority w:val="99"/>
    <w:semiHidden/>
    <w:unhideWhenUsed/>
    <w:rsid w:val="00461444"/>
    <w:pPr>
      <w:spacing w:line="276" w:lineRule="auto"/>
    </w:pPr>
    <w:rPr>
      <w:b/>
      <w:bCs/>
    </w:rPr>
  </w:style>
  <w:style w:type="character" w:customStyle="1" w:styleId="af3">
    <w:name w:val="Тема примечания Знак"/>
    <w:link w:val="af2"/>
    <w:uiPriority w:val="99"/>
    <w:semiHidden/>
    <w:rsid w:val="00461444"/>
    <w:rPr>
      <w:rFonts w:ascii="Calibri" w:eastAsia="Calibri" w:hAnsi="Calibri" w:cs="Times New Roman"/>
      <w:b/>
      <w:bCs/>
      <w:sz w:val="20"/>
      <w:szCs w:val="20"/>
      <w:lang w:val="en-US"/>
    </w:rPr>
  </w:style>
  <w:style w:type="paragraph" w:styleId="af4">
    <w:name w:val="Normal (Web)"/>
    <w:basedOn w:val="a1"/>
    <w:uiPriority w:val="99"/>
    <w:unhideWhenUsed/>
    <w:rsid w:val="00A55C6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Hyperlink"/>
    <w:uiPriority w:val="99"/>
    <w:unhideWhenUsed/>
    <w:rsid w:val="009C598B"/>
    <w:rPr>
      <w:color w:val="0563C1"/>
      <w:u w:val="single"/>
    </w:rPr>
  </w:style>
  <w:style w:type="paragraph" w:styleId="af6">
    <w:name w:val="Revision"/>
    <w:hidden/>
    <w:uiPriority w:val="99"/>
    <w:semiHidden/>
    <w:rsid w:val="00AF55DD"/>
    <w:rPr>
      <w:sz w:val="22"/>
      <w:szCs w:val="22"/>
      <w:lang w:val="en-US" w:eastAsia="en-US"/>
    </w:rPr>
  </w:style>
  <w:style w:type="paragraph" w:customStyle="1" w:styleId="Title1">
    <w:name w:val="Title 1"/>
    <w:rsid w:val="00552244"/>
    <w:pPr>
      <w:numPr>
        <w:numId w:val="37"/>
      </w:numPr>
      <w:tabs>
        <w:tab w:val="left" w:pos="1418"/>
      </w:tabs>
      <w:jc w:val="both"/>
    </w:pPr>
    <w:rPr>
      <w:rFonts w:ascii="Arial" w:eastAsia="Times New Roman" w:hAnsi="Arial" w:cs="Arial"/>
      <w:b/>
      <w:lang w:val="ru-RU" w:eastAsia="en-US"/>
    </w:rPr>
  </w:style>
  <w:style w:type="paragraph" w:customStyle="1" w:styleId="Title3">
    <w:name w:val="Title 3"/>
    <w:rsid w:val="00552244"/>
    <w:pPr>
      <w:keepNext/>
      <w:numPr>
        <w:ilvl w:val="2"/>
        <w:numId w:val="37"/>
      </w:numPr>
      <w:tabs>
        <w:tab w:val="left" w:pos="1418"/>
      </w:tabs>
      <w:spacing w:before="240"/>
      <w:ind w:left="1418"/>
      <w:jc w:val="both"/>
    </w:pPr>
    <w:rPr>
      <w:rFonts w:ascii="Arial" w:eastAsia="Times New Roman" w:hAnsi="Arial"/>
      <w:b/>
      <w:bCs/>
      <w:lang w:val="ru-RU" w:eastAsia="en-US"/>
    </w:rPr>
  </w:style>
  <w:style w:type="paragraph" w:customStyle="1" w:styleId="Point">
    <w:name w:val="Point"/>
    <w:rsid w:val="00552244"/>
    <w:pPr>
      <w:numPr>
        <w:ilvl w:val="3"/>
        <w:numId w:val="37"/>
      </w:numPr>
      <w:tabs>
        <w:tab w:val="left" w:pos="851"/>
      </w:tabs>
      <w:spacing w:before="240"/>
      <w:jc w:val="both"/>
    </w:pPr>
    <w:rPr>
      <w:rFonts w:ascii="Arial" w:eastAsia="Times New Roman" w:hAnsi="Arial"/>
      <w:lang w:val="ru-RU" w:eastAsia="en-US"/>
    </w:rPr>
  </w:style>
  <w:style w:type="paragraph" w:customStyle="1" w:styleId="Point2">
    <w:name w:val="Point 2"/>
    <w:basedOn w:val="a1"/>
    <w:rsid w:val="00552244"/>
    <w:pPr>
      <w:numPr>
        <w:ilvl w:val="4"/>
        <w:numId w:val="37"/>
      </w:numPr>
      <w:tabs>
        <w:tab w:val="left" w:pos="851"/>
      </w:tabs>
      <w:spacing w:before="120" w:after="0" w:line="240" w:lineRule="auto"/>
      <w:jc w:val="both"/>
    </w:pPr>
    <w:rPr>
      <w:rFonts w:ascii="Arial" w:eastAsia="Times New Roman" w:hAnsi="Arial" w:cs="Arial"/>
      <w:sz w:val="20"/>
      <w:szCs w:val="20"/>
      <w:lang w:val="ru-RU" w:eastAsia="ru-RU"/>
    </w:rPr>
  </w:style>
  <w:style w:type="paragraph" w:customStyle="1" w:styleId="Title2">
    <w:name w:val="Title 2"/>
    <w:rsid w:val="00552244"/>
    <w:pPr>
      <w:keepNext/>
      <w:numPr>
        <w:ilvl w:val="1"/>
        <w:numId w:val="37"/>
      </w:numPr>
      <w:tabs>
        <w:tab w:val="left" w:pos="1985"/>
      </w:tabs>
      <w:spacing w:before="240"/>
      <w:jc w:val="both"/>
    </w:pPr>
    <w:rPr>
      <w:rFonts w:ascii="Arial" w:eastAsia="Times New Roman" w:hAnsi="Arial"/>
      <w:b/>
      <w:lang w:val="ru-RU" w:eastAsia="en-US"/>
    </w:rPr>
  </w:style>
  <w:style w:type="paragraph" w:customStyle="1" w:styleId="Point3">
    <w:name w:val="Point 3"/>
    <w:basedOn w:val="a1"/>
    <w:rsid w:val="00552244"/>
    <w:pPr>
      <w:numPr>
        <w:ilvl w:val="5"/>
        <w:numId w:val="37"/>
      </w:numPr>
      <w:spacing w:before="60" w:after="0" w:line="240" w:lineRule="auto"/>
      <w:jc w:val="both"/>
    </w:pPr>
    <w:rPr>
      <w:rFonts w:ascii="Arial" w:eastAsia="Times New Roman" w:hAnsi="Arial" w:cs="Arial"/>
      <w:color w:val="000000"/>
      <w:sz w:val="20"/>
      <w:szCs w:val="20"/>
      <w:lang w:val="ru-RU"/>
    </w:rPr>
  </w:style>
  <w:style w:type="paragraph" w:customStyle="1" w:styleId="a0">
    <w:name w:val="Подпункт спецификации"/>
    <w:basedOn w:val="af7"/>
    <w:rsid w:val="00F63B8E"/>
    <w:pPr>
      <w:numPr>
        <w:ilvl w:val="1"/>
        <w:numId w:val="38"/>
      </w:numPr>
      <w:tabs>
        <w:tab w:val="clear" w:pos="851"/>
      </w:tabs>
      <w:autoSpaceDE w:val="0"/>
      <w:autoSpaceDN w:val="0"/>
      <w:spacing w:after="60" w:line="240" w:lineRule="auto"/>
      <w:ind w:left="2291" w:hanging="360"/>
      <w:jc w:val="both"/>
    </w:pPr>
    <w:rPr>
      <w:rFonts w:ascii="Arial" w:eastAsia="Times New Roman" w:hAnsi="Arial"/>
      <w:color w:val="000000"/>
      <w:sz w:val="20"/>
      <w:szCs w:val="20"/>
      <w:lang w:val="x-none" w:eastAsia="ru-RU"/>
    </w:rPr>
  </w:style>
  <w:style w:type="paragraph" w:customStyle="1" w:styleId="a">
    <w:name w:val="Пункт спецификации"/>
    <w:basedOn w:val="a1"/>
    <w:rsid w:val="00F63B8E"/>
    <w:pPr>
      <w:numPr>
        <w:numId w:val="38"/>
      </w:numPr>
      <w:autoSpaceDE w:val="0"/>
      <w:autoSpaceDN w:val="0"/>
      <w:spacing w:before="120" w:after="120" w:line="240" w:lineRule="auto"/>
      <w:jc w:val="both"/>
    </w:pPr>
    <w:rPr>
      <w:rFonts w:ascii="Arial" w:eastAsia="Times New Roman" w:hAnsi="Arial" w:cs="Arial"/>
      <w:b/>
      <w:sz w:val="20"/>
      <w:szCs w:val="20"/>
      <w:lang w:val="ru-RU" w:eastAsia="ru-RU"/>
    </w:rPr>
  </w:style>
  <w:style w:type="paragraph" w:customStyle="1" w:styleId="1">
    <w:name w:val="Подпункт спецификации 1"/>
    <w:basedOn w:val="a0"/>
    <w:rsid w:val="00F63B8E"/>
    <w:pPr>
      <w:numPr>
        <w:ilvl w:val="2"/>
      </w:numPr>
      <w:tabs>
        <w:tab w:val="clear" w:pos="1418"/>
        <w:tab w:val="num" w:pos="851"/>
        <w:tab w:val="num" w:pos="1973"/>
      </w:tabs>
      <w:spacing w:before="120" w:after="0"/>
      <w:ind w:left="851" w:hanging="851"/>
    </w:pPr>
  </w:style>
  <w:style w:type="paragraph" w:styleId="af7">
    <w:name w:val="Body Text Indent"/>
    <w:basedOn w:val="a1"/>
    <w:link w:val="af8"/>
    <w:uiPriority w:val="99"/>
    <w:semiHidden/>
    <w:unhideWhenUsed/>
    <w:rsid w:val="00F63B8E"/>
    <w:pPr>
      <w:spacing w:after="120"/>
      <w:ind w:left="283"/>
    </w:pPr>
  </w:style>
  <w:style w:type="character" w:customStyle="1" w:styleId="af8">
    <w:name w:val="Основной текст с отступом Знак"/>
    <w:link w:val="af7"/>
    <w:uiPriority w:val="99"/>
    <w:semiHidden/>
    <w:rsid w:val="00F63B8E"/>
    <w:rPr>
      <w:sz w:val="22"/>
      <w:szCs w:val="22"/>
      <w:lang w:val="en-US" w:eastAsia="en-US"/>
    </w:rPr>
  </w:style>
  <w:style w:type="paragraph" w:styleId="af9">
    <w:name w:val="footnote text"/>
    <w:basedOn w:val="a1"/>
    <w:link w:val="afa"/>
    <w:uiPriority w:val="99"/>
    <w:semiHidden/>
    <w:unhideWhenUsed/>
    <w:rsid w:val="00A04242"/>
    <w:rPr>
      <w:sz w:val="20"/>
      <w:szCs w:val="20"/>
    </w:rPr>
  </w:style>
  <w:style w:type="character" w:customStyle="1" w:styleId="afa">
    <w:name w:val="Текст сноски Знак"/>
    <w:link w:val="af9"/>
    <w:uiPriority w:val="99"/>
    <w:semiHidden/>
    <w:rsid w:val="00A04242"/>
    <w:rPr>
      <w:lang w:val="en-US" w:eastAsia="en-US"/>
    </w:rPr>
  </w:style>
  <w:style w:type="character" w:styleId="afb">
    <w:name w:val="footnote reference"/>
    <w:uiPriority w:val="99"/>
    <w:semiHidden/>
    <w:unhideWhenUsed/>
    <w:rsid w:val="00A04242"/>
    <w:rPr>
      <w:vertAlign w:val="superscript"/>
    </w:rPr>
  </w:style>
  <w:style w:type="paragraph" w:styleId="afc">
    <w:name w:val="No Spacing"/>
    <w:uiPriority w:val="1"/>
    <w:qFormat/>
    <w:rsid w:val="002D461F"/>
    <w:rPr>
      <w:rFonts w:ascii="Times New Roman" w:eastAsia="Times New Roman" w:hAnsi="Times New Roman"/>
      <w:lang w:val="ru-RU" w:eastAsia="ru-RU"/>
    </w:rPr>
  </w:style>
  <w:style w:type="paragraph" w:customStyle="1" w:styleId="rvps2">
    <w:name w:val="rvps2"/>
    <w:basedOn w:val="a1"/>
    <w:rsid w:val="00F413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Заголовок 1 Знак"/>
    <w:link w:val="10"/>
    <w:uiPriority w:val="9"/>
    <w:rsid w:val="000D3F3B"/>
    <w:rPr>
      <w:rFonts w:ascii="Calibri Light" w:eastAsia="Times New Roman" w:hAnsi="Calibri Light" w:cs="Times New Roman"/>
      <w:b/>
      <w:bCs/>
      <w:kern w:val="32"/>
      <w:sz w:val="32"/>
      <w:szCs w:val="32"/>
    </w:rPr>
  </w:style>
  <w:style w:type="paragraph" w:styleId="afd">
    <w:name w:val="TOC Heading"/>
    <w:basedOn w:val="10"/>
    <w:next w:val="a1"/>
    <w:uiPriority w:val="39"/>
    <w:unhideWhenUsed/>
    <w:qFormat/>
    <w:rsid w:val="00D866A1"/>
    <w:pPr>
      <w:keepLines/>
      <w:spacing w:after="0" w:line="259" w:lineRule="auto"/>
      <w:outlineLvl w:val="9"/>
    </w:pPr>
    <w:rPr>
      <w:b w:val="0"/>
      <w:bCs w:val="0"/>
      <w:color w:val="2E74B5"/>
      <w:kern w:val="0"/>
    </w:rPr>
  </w:style>
  <w:style w:type="paragraph" w:styleId="3">
    <w:name w:val="toc 3"/>
    <w:basedOn w:val="a1"/>
    <w:next w:val="a1"/>
    <w:autoRedefine/>
    <w:uiPriority w:val="39"/>
    <w:unhideWhenUsed/>
    <w:rsid w:val="00D866A1"/>
    <w:pPr>
      <w:ind w:left="440"/>
    </w:pPr>
  </w:style>
  <w:style w:type="paragraph" w:customStyle="1" w:styleId="gmail-msolistparagraph">
    <w:name w:val="gmail-msolistparagraph"/>
    <w:basedOn w:val="a1"/>
    <w:rsid w:val="009563A5"/>
    <w:pPr>
      <w:spacing w:before="100" w:beforeAutospacing="1" w:after="100" w:afterAutospacing="1" w:line="240" w:lineRule="auto"/>
    </w:pPr>
    <w:rPr>
      <w:rFonts w:ascii="Times New Roman" w:eastAsiaTheme="minorHAnsi" w:hAnsi="Times New Roman"/>
      <w:sz w:val="24"/>
      <w:szCs w:val="24"/>
      <w:lang w:eastAsia="uk-UA"/>
    </w:rPr>
  </w:style>
  <w:style w:type="character" w:customStyle="1" w:styleId="s21">
    <w:name w:val="s21"/>
    <w:basedOn w:val="a2"/>
    <w:rsid w:val="00FB122B"/>
  </w:style>
  <w:style w:type="character" w:customStyle="1" w:styleId="s28">
    <w:name w:val="s28"/>
    <w:basedOn w:val="a2"/>
    <w:rsid w:val="00FB122B"/>
  </w:style>
  <w:style w:type="character" w:customStyle="1" w:styleId="a6">
    <w:name w:val="Абзац списка Знак"/>
    <w:link w:val="a5"/>
    <w:uiPriority w:val="34"/>
    <w:locked/>
    <w:rsid w:val="00982C14"/>
    <w:rPr>
      <w:sz w:val="22"/>
      <w:szCs w:val="22"/>
      <w:lang w:eastAsia="en-US"/>
    </w:rPr>
  </w:style>
  <w:style w:type="character" w:styleId="afe">
    <w:name w:val="Placeholder Text"/>
    <w:basedOn w:val="a2"/>
    <w:uiPriority w:val="99"/>
    <w:semiHidden/>
    <w:rsid w:val="00D76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1444"/>
    <w:pPr>
      <w:spacing w:after="200" w:line="276" w:lineRule="auto"/>
    </w:pPr>
    <w:rPr>
      <w:sz w:val="22"/>
      <w:szCs w:val="22"/>
      <w:lang w:eastAsia="en-US"/>
    </w:rPr>
  </w:style>
  <w:style w:type="paragraph" w:styleId="10">
    <w:name w:val="heading 1"/>
    <w:basedOn w:val="a1"/>
    <w:next w:val="a1"/>
    <w:link w:val="11"/>
    <w:uiPriority w:val="9"/>
    <w:qFormat/>
    <w:rsid w:val="000D3F3B"/>
    <w:pPr>
      <w:keepNext/>
      <w:spacing w:before="240" w:after="60"/>
      <w:outlineLvl w:val="0"/>
    </w:pPr>
    <w:rPr>
      <w:rFonts w:ascii="Calibri Light" w:eastAsia="Times New Roman" w:hAnsi="Calibri Light"/>
      <w:b/>
      <w:bCs/>
      <w:kern w:val="32"/>
      <w:sz w:val="32"/>
      <w:szCs w:val="32"/>
    </w:rPr>
  </w:style>
  <w:style w:type="paragraph" w:styleId="2">
    <w:name w:val="heading 2"/>
    <w:basedOn w:val="a1"/>
    <w:next w:val="a1"/>
    <w:link w:val="20"/>
    <w:qFormat/>
    <w:rsid w:val="00461444"/>
    <w:pPr>
      <w:keepNext/>
      <w:widowControl w:val="0"/>
      <w:autoSpaceDE w:val="0"/>
      <w:autoSpaceDN w:val="0"/>
      <w:adjustRightInd w:val="0"/>
      <w:spacing w:before="240" w:after="60" w:line="240" w:lineRule="auto"/>
      <w:outlineLvl w:val="1"/>
    </w:pPr>
    <w:rPr>
      <w:rFonts w:ascii="Arial" w:eastAsia="Times New Roman" w:hAnsi="Arial" w:cs="Arial"/>
      <w:b/>
      <w:bCs/>
      <w:sz w:val="24"/>
      <w:szCs w:val="24"/>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461444"/>
    <w:rPr>
      <w:rFonts w:ascii="Arial" w:eastAsia="Times New Roman" w:hAnsi="Arial" w:cs="Arial"/>
      <w:b/>
      <w:bCs/>
      <w:sz w:val="24"/>
      <w:szCs w:val="24"/>
      <w:lang w:eastAsia="ru-RU"/>
    </w:rPr>
  </w:style>
  <w:style w:type="paragraph" w:styleId="a5">
    <w:name w:val="List Paragraph"/>
    <w:basedOn w:val="a1"/>
    <w:link w:val="a6"/>
    <w:uiPriority w:val="34"/>
    <w:qFormat/>
    <w:rsid w:val="00461444"/>
    <w:pPr>
      <w:ind w:left="720"/>
      <w:contextualSpacing/>
    </w:pPr>
  </w:style>
  <w:style w:type="paragraph" w:styleId="a7">
    <w:name w:val="header"/>
    <w:basedOn w:val="a1"/>
    <w:link w:val="a8"/>
    <w:uiPriority w:val="99"/>
    <w:unhideWhenUsed/>
    <w:rsid w:val="00461444"/>
    <w:pPr>
      <w:tabs>
        <w:tab w:val="center" w:pos="4844"/>
        <w:tab w:val="right" w:pos="9689"/>
      </w:tabs>
      <w:spacing w:after="0" w:line="240" w:lineRule="auto"/>
    </w:pPr>
  </w:style>
  <w:style w:type="character" w:customStyle="1" w:styleId="a8">
    <w:name w:val="Верхний колонтитул Знак"/>
    <w:link w:val="a7"/>
    <w:uiPriority w:val="99"/>
    <w:rsid w:val="00461444"/>
    <w:rPr>
      <w:rFonts w:ascii="Calibri" w:eastAsia="Calibri" w:hAnsi="Calibri" w:cs="Times New Roman"/>
      <w:lang w:val="en-US"/>
    </w:rPr>
  </w:style>
  <w:style w:type="paragraph" w:styleId="a9">
    <w:name w:val="footer"/>
    <w:basedOn w:val="a1"/>
    <w:link w:val="aa"/>
    <w:uiPriority w:val="99"/>
    <w:unhideWhenUsed/>
    <w:rsid w:val="00461444"/>
    <w:pPr>
      <w:tabs>
        <w:tab w:val="center" w:pos="4844"/>
        <w:tab w:val="right" w:pos="9689"/>
      </w:tabs>
      <w:spacing w:after="0" w:line="240" w:lineRule="auto"/>
    </w:pPr>
  </w:style>
  <w:style w:type="character" w:customStyle="1" w:styleId="aa">
    <w:name w:val="Нижний колонтитул Знак"/>
    <w:link w:val="a9"/>
    <w:uiPriority w:val="99"/>
    <w:rsid w:val="00461444"/>
    <w:rPr>
      <w:rFonts w:ascii="Calibri" w:eastAsia="Calibri" w:hAnsi="Calibri" w:cs="Times New Roman"/>
      <w:lang w:val="en-US"/>
    </w:rPr>
  </w:style>
  <w:style w:type="character" w:styleId="ab">
    <w:name w:val="annotation reference"/>
    <w:uiPriority w:val="99"/>
    <w:semiHidden/>
    <w:unhideWhenUsed/>
    <w:rsid w:val="00461444"/>
    <w:rPr>
      <w:sz w:val="16"/>
      <w:szCs w:val="16"/>
    </w:rPr>
  </w:style>
  <w:style w:type="paragraph" w:styleId="ac">
    <w:name w:val="annotation text"/>
    <w:basedOn w:val="a1"/>
    <w:link w:val="ad"/>
    <w:uiPriority w:val="99"/>
    <w:unhideWhenUsed/>
    <w:rsid w:val="00461444"/>
    <w:pPr>
      <w:spacing w:line="240" w:lineRule="auto"/>
    </w:pPr>
    <w:rPr>
      <w:sz w:val="20"/>
      <w:szCs w:val="20"/>
    </w:rPr>
  </w:style>
  <w:style w:type="character" w:customStyle="1" w:styleId="ad">
    <w:name w:val="Текст примечания Знак"/>
    <w:link w:val="ac"/>
    <w:uiPriority w:val="99"/>
    <w:rsid w:val="00461444"/>
    <w:rPr>
      <w:rFonts w:ascii="Calibri" w:eastAsia="Calibri" w:hAnsi="Calibri" w:cs="Times New Roman"/>
      <w:sz w:val="20"/>
      <w:szCs w:val="20"/>
      <w:lang w:val="en-US"/>
    </w:rPr>
  </w:style>
  <w:style w:type="paragraph" w:styleId="ae">
    <w:name w:val="Body Text"/>
    <w:basedOn w:val="a1"/>
    <w:link w:val="af"/>
    <w:rsid w:val="00461444"/>
    <w:pPr>
      <w:spacing w:after="0" w:line="240" w:lineRule="auto"/>
      <w:jc w:val="center"/>
    </w:pPr>
    <w:rPr>
      <w:rFonts w:ascii="Times New Roman" w:eastAsia="Times New Roman" w:hAnsi="Times New Roman"/>
      <w:sz w:val="24"/>
      <w:szCs w:val="24"/>
    </w:rPr>
  </w:style>
  <w:style w:type="character" w:customStyle="1" w:styleId="af">
    <w:name w:val="Основной текст Знак"/>
    <w:link w:val="ae"/>
    <w:rsid w:val="00461444"/>
    <w:rPr>
      <w:rFonts w:ascii="Times New Roman" w:eastAsia="Times New Roman" w:hAnsi="Times New Roman" w:cs="Times New Roman"/>
      <w:sz w:val="24"/>
      <w:szCs w:val="24"/>
      <w:lang w:val="en-US"/>
    </w:rPr>
  </w:style>
  <w:style w:type="paragraph" w:customStyle="1" w:styleId="Default">
    <w:name w:val="Default"/>
    <w:rsid w:val="00461444"/>
    <w:pPr>
      <w:autoSpaceDE w:val="0"/>
      <w:autoSpaceDN w:val="0"/>
      <w:adjustRightInd w:val="0"/>
    </w:pPr>
    <w:rPr>
      <w:rFonts w:ascii="Arial" w:hAnsi="Arial" w:cs="Arial"/>
      <w:color w:val="000000"/>
      <w:sz w:val="24"/>
      <w:szCs w:val="24"/>
      <w:lang w:val="ru-RU" w:eastAsia="ru-RU"/>
    </w:rPr>
  </w:style>
  <w:style w:type="paragraph" w:styleId="af0">
    <w:name w:val="Balloon Text"/>
    <w:basedOn w:val="a1"/>
    <w:link w:val="af1"/>
    <w:uiPriority w:val="99"/>
    <w:semiHidden/>
    <w:unhideWhenUsed/>
    <w:rsid w:val="00461444"/>
    <w:pPr>
      <w:spacing w:after="0" w:line="240" w:lineRule="auto"/>
    </w:pPr>
    <w:rPr>
      <w:rFonts w:ascii="Tahoma" w:hAnsi="Tahoma" w:cs="Tahoma"/>
      <w:sz w:val="16"/>
      <w:szCs w:val="16"/>
    </w:rPr>
  </w:style>
  <w:style w:type="character" w:customStyle="1" w:styleId="af1">
    <w:name w:val="Текст выноски Знак"/>
    <w:link w:val="af0"/>
    <w:uiPriority w:val="99"/>
    <w:semiHidden/>
    <w:rsid w:val="00461444"/>
    <w:rPr>
      <w:rFonts w:ascii="Tahoma" w:eastAsia="Calibri" w:hAnsi="Tahoma" w:cs="Tahoma"/>
      <w:sz w:val="16"/>
      <w:szCs w:val="16"/>
      <w:lang w:val="en-US"/>
    </w:rPr>
  </w:style>
  <w:style w:type="paragraph" w:styleId="af2">
    <w:name w:val="annotation subject"/>
    <w:basedOn w:val="ac"/>
    <w:next w:val="ac"/>
    <w:link w:val="af3"/>
    <w:uiPriority w:val="99"/>
    <w:semiHidden/>
    <w:unhideWhenUsed/>
    <w:rsid w:val="00461444"/>
    <w:pPr>
      <w:spacing w:line="276" w:lineRule="auto"/>
    </w:pPr>
    <w:rPr>
      <w:b/>
      <w:bCs/>
    </w:rPr>
  </w:style>
  <w:style w:type="character" w:customStyle="1" w:styleId="af3">
    <w:name w:val="Тема примечания Знак"/>
    <w:link w:val="af2"/>
    <w:uiPriority w:val="99"/>
    <w:semiHidden/>
    <w:rsid w:val="00461444"/>
    <w:rPr>
      <w:rFonts w:ascii="Calibri" w:eastAsia="Calibri" w:hAnsi="Calibri" w:cs="Times New Roman"/>
      <w:b/>
      <w:bCs/>
      <w:sz w:val="20"/>
      <w:szCs w:val="20"/>
      <w:lang w:val="en-US"/>
    </w:rPr>
  </w:style>
  <w:style w:type="paragraph" w:styleId="af4">
    <w:name w:val="Normal (Web)"/>
    <w:basedOn w:val="a1"/>
    <w:uiPriority w:val="99"/>
    <w:unhideWhenUsed/>
    <w:rsid w:val="00A55C69"/>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Hyperlink"/>
    <w:uiPriority w:val="99"/>
    <w:unhideWhenUsed/>
    <w:rsid w:val="009C598B"/>
    <w:rPr>
      <w:color w:val="0563C1"/>
      <w:u w:val="single"/>
    </w:rPr>
  </w:style>
  <w:style w:type="paragraph" w:styleId="af6">
    <w:name w:val="Revision"/>
    <w:hidden/>
    <w:uiPriority w:val="99"/>
    <w:semiHidden/>
    <w:rsid w:val="00AF55DD"/>
    <w:rPr>
      <w:sz w:val="22"/>
      <w:szCs w:val="22"/>
      <w:lang w:val="en-US" w:eastAsia="en-US"/>
    </w:rPr>
  </w:style>
  <w:style w:type="paragraph" w:customStyle="1" w:styleId="Title1">
    <w:name w:val="Title 1"/>
    <w:rsid w:val="00552244"/>
    <w:pPr>
      <w:numPr>
        <w:numId w:val="37"/>
      </w:numPr>
      <w:tabs>
        <w:tab w:val="left" w:pos="1418"/>
      </w:tabs>
      <w:jc w:val="both"/>
    </w:pPr>
    <w:rPr>
      <w:rFonts w:ascii="Arial" w:eastAsia="Times New Roman" w:hAnsi="Arial" w:cs="Arial"/>
      <w:b/>
      <w:lang w:val="ru-RU" w:eastAsia="en-US"/>
    </w:rPr>
  </w:style>
  <w:style w:type="paragraph" w:customStyle="1" w:styleId="Title3">
    <w:name w:val="Title 3"/>
    <w:rsid w:val="00552244"/>
    <w:pPr>
      <w:keepNext/>
      <w:numPr>
        <w:ilvl w:val="2"/>
        <w:numId w:val="37"/>
      </w:numPr>
      <w:tabs>
        <w:tab w:val="left" w:pos="1418"/>
      </w:tabs>
      <w:spacing w:before="240"/>
      <w:ind w:left="1418"/>
      <w:jc w:val="both"/>
    </w:pPr>
    <w:rPr>
      <w:rFonts w:ascii="Arial" w:eastAsia="Times New Roman" w:hAnsi="Arial"/>
      <w:b/>
      <w:bCs/>
      <w:lang w:val="ru-RU" w:eastAsia="en-US"/>
    </w:rPr>
  </w:style>
  <w:style w:type="paragraph" w:customStyle="1" w:styleId="Point">
    <w:name w:val="Point"/>
    <w:rsid w:val="00552244"/>
    <w:pPr>
      <w:numPr>
        <w:ilvl w:val="3"/>
        <w:numId w:val="37"/>
      </w:numPr>
      <w:tabs>
        <w:tab w:val="left" w:pos="851"/>
      </w:tabs>
      <w:spacing w:before="240"/>
      <w:jc w:val="both"/>
    </w:pPr>
    <w:rPr>
      <w:rFonts w:ascii="Arial" w:eastAsia="Times New Roman" w:hAnsi="Arial"/>
      <w:lang w:val="ru-RU" w:eastAsia="en-US"/>
    </w:rPr>
  </w:style>
  <w:style w:type="paragraph" w:customStyle="1" w:styleId="Point2">
    <w:name w:val="Point 2"/>
    <w:basedOn w:val="a1"/>
    <w:rsid w:val="00552244"/>
    <w:pPr>
      <w:numPr>
        <w:ilvl w:val="4"/>
        <w:numId w:val="37"/>
      </w:numPr>
      <w:tabs>
        <w:tab w:val="left" w:pos="851"/>
      </w:tabs>
      <w:spacing w:before="120" w:after="0" w:line="240" w:lineRule="auto"/>
      <w:jc w:val="both"/>
    </w:pPr>
    <w:rPr>
      <w:rFonts w:ascii="Arial" w:eastAsia="Times New Roman" w:hAnsi="Arial" w:cs="Arial"/>
      <w:sz w:val="20"/>
      <w:szCs w:val="20"/>
      <w:lang w:val="ru-RU" w:eastAsia="ru-RU"/>
    </w:rPr>
  </w:style>
  <w:style w:type="paragraph" w:customStyle="1" w:styleId="Title2">
    <w:name w:val="Title 2"/>
    <w:rsid w:val="00552244"/>
    <w:pPr>
      <w:keepNext/>
      <w:numPr>
        <w:ilvl w:val="1"/>
        <w:numId w:val="37"/>
      </w:numPr>
      <w:tabs>
        <w:tab w:val="left" w:pos="1985"/>
      </w:tabs>
      <w:spacing w:before="240"/>
      <w:jc w:val="both"/>
    </w:pPr>
    <w:rPr>
      <w:rFonts w:ascii="Arial" w:eastAsia="Times New Roman" w:hAnsi="Arial"/>
      <w:b/>
      <w:lang w:val="ru-RU" w:eastAsia="en-US"/>
    </w:rPr>
  </w:style>
  <w:style w:type="paragraph" w:customStyle="1" w:styleId="Point3">
    <w:name w:val="Point 3"/>
    <w:basedOn w:val="a1"/>
    <w:rsid w:val="00552244"/>
    <w:pPr>
      <w:numPr>
        <w:ilvl w:val="5"/>
        <w:numId w:val="37"/>
      </w:numPr>
      <w:spacing w:before="60" w:after="0" w:line="240" w:lineRule="auto"/>
      <w:jc w:val="both"/>
    </w:pPr>
    <w:rPr>
      <w:rFonts w:ascii="Arial" w:eastAsia="Times New Roman" w:hAnsi="Arial" w:cs="Arial"/>
      <w:color w:val="000000"/>
      <w:sz w:val="20"/>
      <w:szCs w:val="20"/>
      <w:lang w:val="ru-RU"/>
    </w:rPr>
  </w:style>
  <w:style w:type="paragraph" w:customStyle="1" w:styleId="a0">
    <w:name w:val="Подпункт спецификации"/>
    <w:basedOn w:val="af7"/>
    <w:rsid w:val="00F63B8E"/>
    <w:pPr>
      <w:numPr>
        <w:ilvl w:val="1"/>
        <w:numId w:val="38"/>
      </w:numPr>
      <w:tabs>
        <w:tab w:val="clear" w:pos="851"/>
      </w:tabs>
      <w:autoSpaceDE w:val="0"/>
      <w:autoSpaceDN w:val="0"/>
      <w:spacing w:after="60" w:line="240" w:lineRule="auto"/>
      <w:ind w:left="2291" w:hanging="360"/>
      <w:jc w:val="both"/>
    </w:pPr>
    <w:rPr>
      <w:rFonts w:ascii="Arial" w:eastAsia="Times New Roman" w:hAnsi="Arial"/>
      <w:color w:val="000000"/>
      <w:sz w:val="20"/>
      <w:szCs w:val="20"/>
      <w:lang w:val="x-none" w:eastAsia="ru-RU"/>
    </w:rPr>
  </w:style>
  <w:style w:type="paragraph" w:customStyle="1" w:styleId="a">
    <w:name w:val="Пункт спецификации"/>
    <w:basedOn w:val="a1"/>
    <w:rsid w:val="00F63B8E"/>
    <w:pPr>
      <w:numPr>
        <w:numId w:val="38"/>
      </w:numPr>
      <w:autoSpaceDE w:val="0"/>
      <w:autoSpaceDN w:val="0"/>
      <w:spacing w:before="120" w:after="120" w:line="240" w:lineRule="auto"/>
      <w:jc w:val="both"/>
    </w:pPr>
    <w:rPr>
      <w:rFonts w:ascii="Arial" w:eastAsia="Times New Roman" w:hAnsi="Arial" w:cs="Arial"/>
      <w:b/>
      <w:sz w:val="20"/>
      <w:szCs w:val="20"/>
      <w:lang w:val="ru-RU" w:eastAsia="ru-RU"/>
    </w:rPr>
  </w:style>
  <w:style w:type="paragraph" w:customStyle="1" w:styleId="1">
    <w:name w:val="Подпункт спецификации 1"/>
    <w:basedOn w:val="a0"/>
    <w:rsid w:val="00F63B8E"/>
    <w:pPr>
      <w:numPr>
        <w:ilvl w:val="2"/>
      </w:numPr>
      <w:tabs>
        <w:tab w:val="clear" w:pos="1418"/>
        <w:tab w:val="num" w:pos="851"/>
        <w:tab w:val="num" w:pos="1973"/>
      </w:tabs>
      <w:spacing w:before="120" w:after="0"/>
      <w:ind w:left="851" w:hanging="851"/>
    </w:pPr>
  </w:style>
  <w:style w:type="paragraph" w:styleId="af7">
    <w:name w:val="Body Text Indent"/>
    <w:basedOn w:val="a1"/>
    <w:link w:val="af8"/>
    <w:uiPriority w:val="99"/>
    <w:semiHidden/>
    <w:unhideWhenUsed/>
    <w:rsid w:val="00F63B8E"/>
    <w:pPr>
      <w:spacing w:after="120"/>
      <w:ind w:left="283"/>
    </w:pPr>
  </w:style>
  <w:style w:type="character" w:customStyle="1" w:styleId="af8">
    <w:name w:val="Основной текст с отступом Знак"/>
    <w:link w:val="af7"/>
    <w:uiPriority w:val="99"/>
    <w:semiHidden/>
    <w:rsid w:val="00F63B8E"/>
    <w:rPr>
      <w:sz w:val="22"/>
      <w:szCs w:val="22"/>
      <w:lang w:val="en-US" w:eastAsia="en-US"/>
    </w:rPr>
  </w:style>
  <w:style w:type="paragraph" w:styleId="af9">
    <w:name w:val="footnote text"/>
    <w:basedOn w:val="a1"/>
    <w:link w:val="afa"/>
    <w:uiPriority w:val="99"/>
    <w:semiHidden/>
    <w:unhideWhenUsed/>
    <w:rsid w:val="00A04242"/>
    <w:rPr>
      <w:sz w:val="20"/>
      <w:szCs w:val="20"/>
    </w:rPr>
  </w:style>
  <w:style w:type="character" w:customStyle="1" w:styleId="afa">
    <w:name w:val="Текст сноски Знак"/>
    <w:link w:val="af9"/>
    <w:uiPriority w:val="99"/>
    <w:semiHidden/>
    <w:rsid w:val="00A04242"/>
    <w:rPr>
      <w:lang w:val="en-US" w:eastAsia="en-US"/>
    </w:rPr>
  </w:style>
  <w:style w:type="character" w:styleId="afb">
    <w:name w:val="footnote reference"/>
    <w:uiPriority w:val="99"/>
    <w:semiHidden/>
    <w:unhideWhenUsed/>
    <w:rsid w:val="00A04242"/>
    <w:rPr>
      <w:vertAlign w:val="superscript"/>
    </w:rPr>
  </w:style>
  <w:style w:type="paragraph" w:styleId="afc">
    <w:name w:val="No Spacing"/>
    <w:uiPriority w:val="1"/>
    <w:qFormat/>
    <w:rsid w:val="002D461F"/>
    <w:rPr>
      <w:rFonts w:ascii="Times New Roman" w:eastAsia="Times New Roman" w:hAnsi="Times New Roman"/>
      <w:lang w:val="ru-RU" w:eastAsia="ru-RU"/>
    </w:rPr>
  </w:style>
  <w:style w:type="paragraph" w:customStyle="1" w:styleId="rvps2">
    <w:name w:val="rvps2"/>
    <w:basedOn w:val="a1"/>
    <w:rsid w:val="00F413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1">
    <w:name w:val="Заголовок 1 Знак"/>
    <w:link w:val="10"/>
    <w:uiPriority w:val="9"/>
    <w:rsid w:val="000D3F3B"/>
    <w:rPr>
      <w:rFonts w:ascii="Calibri Light" w:eastAsia="Times New Roman" w:hAnsi="Calibri Light" w:cs="Times New Roman"/>
      <w:b/>
      <w:bCs/>
      <w:kern w:val="32"/>
      <w:sz w:val="32"/>
      <w:szCs w:val="32"/>
    </w:rPr>
  </w:style>
  <w:style w:type="paragraph" w:styleId="afd">
    <w:name w:val="TOC Heading"/>
    <w:basedOn w:val="10"/>
    <w:next w:val="a1"/>
    <w:uiPriority w:val="39"/>
    <w:unhideWhenUsed/>
    <w:qFormat/>
    <w:rsid w:val="00D866A1"/>
    <w:pPr>
      <w:keepLines/>
      <w:spacing w:after="0" w:line="259" w:lineRule="auto"/>
      <w:outlineLvl w:val="9"/>
    </w:pPr>
    <w:rPr>
      <w:b w:val="0"/>
      <w:bCs w:val="0"/>
      <w:color w:val="2E74B5"/>
      <w:kern w:val="0"/>
    </w:rPr>
  </w:style>
  <w:style w:type="paragraph" w:styleId="3">
    <w:name w:val="toc 3"/>
    <w:basedOn w:val="a1"/>
    <w:next w:val="a1"/>
    <w:autoRedefine/>
    <w:uiPriority w:val="39"/>
    <w:unhideWhenUsed/>
    <w:rsid w:val="00D866A1"/>
    <w:pPr>
      <w:ind w:left="440"/>
    </w:pPr>
  </w:style>
  <w:style w:type="paragraph" w:customStyle="1" w:styleId="gmail-msolistparagraph">
    <w:name w:val="gmail-msolistparagraph"/>
    <w:basedOn w:val="a1"/>
    <w:rsid w:val="009563A5"/>
    <w:pPr>
      <w:spacing w:before="100" w:beforeAutospacing="1" w:after="100" w:afterAutospacing="1" w:line="240" w:lineRule="auto"/>
    </w:pPr>
    <w:rPr>
      <w:rFonts w:ascii="Times New Roman" w:eastAsiaTheme="minorHAnsi" w:hAnsi="Times New Roman"/>
      <w:sz w:val="24"/>
      <w:szCs w:val="24"/>
      <w:lang w:eastAsia="uk-UA"/>
    </w:rPr>
  </w:style>
  <w:style w:type="character" w:customStyle="1" w:styleId="s21">
    <w:name w:val="s21"/>
    <w:basedOn w:val="a2"/>
    <w:rsid w:val="00FB122B"/>
  </w:style>
  <w:style w:type="character" w:customStyle="1" w:styleId="s28">
    <w:name w:val="s28"/>
    <w:basedOn w:val="a2"/>
    <w:rsid w:val="00FB122B"/>
  </w:style>
  <w:style w:type="character" w:customStyle="1" w:styleId="a6">
    <w:name w:val="Абзац списка Знак"/>
    <w:link w:val="a5"/>
    <w:uiPriority w:val="34"/>
    <w:locked/>
    <w:rsid w:val="00982C14"/>
    <w:rPr>
      <w:sz w:val="22"/>
      <w:szCs w:val="22"/>
      <w:lang w:eastAsia="en-US"/>
    </w:rPr>
  </w:style>
  <w:style w:type="character" w:styleId="afe">
    <w:name w:val="Placeholder Text"/>
    <w:basedOn w:val="a2"/>
    <w:uiPriority w:val="99"/>
    <w:semiHidden/>
    <w:rsid w:val="00D76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4504">
      <w:bodyDiv w:val="1"/>
      <w:marLeft w:val="0"/>
      <w:marRight w:val="0"/>
      <w:marTop w:val="0"/>
      <w:marBottom w:val="0"/>
      <w:divBdr>
        <w:top w:val="none" w:sz="0" w:space="0" w:color="auto"/>
        <w:left w:val="none" w:sz="0" w:space="0" w:color="auto"/>
        <w:bottom w:val="none" w:sz="0" w:space="0" w:color="auto"/>
        <w:right w:val="none" w:sz="0" w:space="0" w:color="auto"/>
      </w:divBdr>
    </w:div>
    <w:div w:id="360321840">
      <w:bodyDiv w:val="1"/>
      <w:marLeft w:val="0"/>
      <w:marRight w:val="0"/>
      <w:marTop w:val="0"/>
      <w:marBottom w:val="0"/>
      <w:divBdr>
        <w:top w:val="none" w:sz="0" w:space="0" w:color="auto"/>
        <w:left w:val="none" w:sz="0" w:space="0" w:color="auto"/>
        <w:bottom w:val="none" w:sz="0" w:space="0" w:color="auto"/>
        <w:right w:val="none" w:sz="0" w:space="0" w:color="auto"/>
      </w:divBdr>
    </w:div>
    <w:div w:id="726417513">
      <w:bodyDiv w:val="1"/>
      <w:marLeft w:val="0"/>
      <w:marRight w:val="0"/>
      <w:marTop w:val="0"/>
      <w:marBottom w:val="0"/>
      <w:divBdr>
        <w:top w:val="none" w:sz="0" w:space="0" w:color="auto"/>
        <w:left w:val="none" w:sz="0" w:space="0" w:color="auto"/>
        <w:bottom w:val="none" w:sz="0" w:space="0" w:color="auto"/>
        <w:right w:val="none" w:sz="0" w:space="0" w:color="auto"/>
      </w:divBdr>
    </w:div>
    <w:div w:id="773129727">
      <w:bodyDiv w:val="1"/>
      <w:marLeft w:val="0"/>
      <w:marRight w:val="0"/>
      <w:marTop w:val="0"/>
      <w:marBottom w:val="0"/>
      <w:divBdr>
        <w:top w:val="none" w:sz="0" w:space="0" w:color="auto"/>
        <w:left w:val="none" w:sz="0" w:space="0" w:color="auto"/>
        <w:bottom w:val="none" w:sz="0" w:space="0" w:color="auto"/>
        <w:right w:val="none" w:sz="0" w:space="0" w:color="auto"/>
      </w:divBdr>
    </w:div>
    <w:div w:id="952053420">
      <w:bodyDiv w:val="1"/>
      <w:marLeft w:val="0"/>
      <w:marRight w:val="0"/>
      <w:marTop w:val="0"/>
      <w:marBottom w:val="0"/>
      <w:divBdr>
        <w:top w:val="none" w:sz="0" w:space="0" w:color="auto"/>
        <w:left w:val="none" w:sz="0" w:space="0" w:color="auto"/>
        <w:bottom w:val="none" w:sz="0" w:space="0" w:color="auto"/>
        <w:right w:val="none" w:sz="0" w:space="0" w:color="auto"/>
      </w:divBdr>
    </w:div>
    <w:div w:id="1230963075">
      <w:bodyDiv w:val="1"/>
      <w:marLeft w:val="0"/>
      <w:marRight w:val="0"/>
      <w:marTop w:val="0"/>
      <w:marBottom w:val="0"/>
      <w:divBdr>
        <w:top w:val="none" w:sz="0" w:space="0" w:color="auto"/>
        <w:left w:val="none" w:sz="0" w:space="0" w:color="auto"/>
        <w:bottom w:val="none" w:sz="0" w:space="0" w:color="auto"/>
        <w:right w:val="none" w:sz="0" w:space="0" w:color="auto"/>
      </w:divBdr>
    </w:div>
    <w:div w:id="1420177196">
      <w:bodyDiv w:val="1"/>
      <w:marLeft w:val="0"/>
      <w:marRight w:val="0"/>
      <w:marTop w:val="0"/>
      <w:marBottom w:val="0"/>
      <w:divBdr>
        <w:top w:val="none" w:sz="0" w:space="0" w:color="auto"/>
        <w:left w:val="none" w:sz="0" w:space="0" w:color="auto"/>
        <w:bottom w:val="none" w:sz="0" w:space="0" w:color="auto"/>
        <w:right w:val="none" w:sz="0" w:space="0" w:color="auto"/>
      </w:divBdr>
    </w:div>
    <w:div w:id="1471898191">
      <w:bodyDiv w:val="1"/>
      <w:marLeft w:val="0"/>
      <w:marRight w:val="0"/>
      <w:marTop w:val="0"/>
      <w:marBottom w:val="0"/>
      <w:divBdr>
        <w:top w:val="none" w:sz="0" w:space="0" w:color="auto"/>
        <w:left w:val="none" w:sz="0" w:space="0" w:color="auto"/>
        <w:bottom w:val="none" w:sz="0" w:space="0" w:color="auto"/>
        <w:right w:val="none" w:sz="0" w:space="0" w:color="auto"/>
      </w:divBdr>
    </w:div>
    <w:div w:id="1481459760">
      <w:bodyDiv w:val="1"/>
      <w:marLeft w:val="0"/>
      <w:marRight w:val="0"/>
      <w:marTop w:val="0"/>
      <w:marBottom w:val="0"/>
      <w:divBdr>
        <w:top w:val="none" w:sz="0" w:space="0" w:color="auto"/>
        <w:left w:val="none" w:sz="0" w:space="0" w:color="auto"/>
        <w:bottom w:val="none" w:sz="0" w:space="0" w:color="auto"/>
        <w:right w:val="none" w:sz="0" w:space="0" w:color="auto"/>
      </w:divBdr>
    </w:div>
    <w:div w:id="1964146175">
      <w:bodyDiv w:val="1"/>
      <w:marLeft w:val="0"/>
      <w:marRight w:val="0"/>
      <w:marTop w:val="0"/>
      <w:marBottom w:val="0"/>
      <w:divBdr>
        <w:top w:val="none" w:sz="0" w:space="0" w:color="auto"/>
        <w:left w:val="none" w:sz="0" w:space="0" w:color="auto"/>
        <w:bottom w:val="none" w:sz="0" w:space="0" w:color="auto"/>
        <w:right w:val="none" w:sz="0" w:space="0" w:color="auto"/>
      </w:divBdr>
    </w:div>
    <w:div w:id="21337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BADF8-D3DF-4DB0-B9DC-79099C50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9020</Words>
  <Characters>51417</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AUSD</Company>
  <LinksUpToDate>false</LinksUpToDate>
  <CharactersWithSpaces>60317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Гнатюк Ірина Володимирівна</dc:creator>
  <cp:lastModifiedBy>Жиров Богдан Борисович</cp:lastModifiedBy>
  <cp:revision>2</cp:revision>
  <cp:lastPrinted>2021-04-09T09:14:00Z</cp:lastPrinted>
  <dcterms:created xsi:type="dcterms:W3CDTF">2021-05-21T12:36:00Z</dcterms:created>
  <dcterms:modified xsi:type="dcterms:W3CDTF">2021-05-21T12:36:00Z</dcterms:modified>
</cp:coreProperties>
</file>